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14F" w:rsidRPr="00C941F5" w:rsidRDefault="0060314F" w:rsidP="0060314F">
      <w:pPr>
        <w:spacing w:line="813" w:lineRule="exact"/>
        <w:ind w:right="-50"/>
        <w:jc w:val="center"/>
        <w:rPr>
          <w:rFonts w:ascii="Calibri"/>
          <w:b/>
          <w:color w:val="336F8D"/>
          <w:sz w:val="70"/>
        </w:rPr>
      </w:pPr>
      <w:bookmarkStart w:id="0" w:name="_Hlk20234263"/>
      <w:bookmarkStart w:id="1" w:name="_Hlk526496391"/>
      <w:bookmarkStart w:id="2" w:name="_Hlk20738912"/>
      <w:bookmarkEnd w:id="0"/>
      <w:r w:rsidRPr="00C941F5">
        <w:rPr>
          <w:rFonts w:ascii="Calibri"/>
          <w:b/>
          <w:color w:val="336F8D"/>
          <w:sz w:val="70"/>
        </w:rPr>
        <w:t>_________________________</w:t>
      </w:r>
    </w:p>
    <w:p w:rsidR="0060314F" w:rsidRPr="00C941F5" w:rsidRDefault="0060314F" w:rsidP="0060314F">
      <w:pPr>
        <w:spacing w:line="813" w:lineRule="exact"/>
        <w:ind w:right="-50"/>
        <w:jc w:val="center"/>
        <w:rPr>
          <w:rFonts w:ascii="Calibri"/>
          <w:b/>
        </w:rPr>
      </w:pPr>
    </w:p>
    <w:p w:rsidR="0060314F" w:rsidRDefault="0060314F" w:rsidP="0060314F">
      <w:pPr>
        <w:spacing w:line="813" w:lineRule="exact"/>
        <w:ind w:right="-50"/>
        <w:jc w:val="center"/>
        <w:rPr>
          <w:rFonts w:ascii="Calibri"/>
          <w:b/>
          <w:sz w:val="70"/>
        </w:rPr>
      </w:pPr>
      <w:r>
        <w:rPr>
          <w:rFonts w:ascii="Calibri"/>
          <w:b/>
          <w:sz w:val="70"/>
        </w:rPr>
        <w:t>2020 MANDATORY COURSE</w:t>
      </w:r>
    </w:p>
    <w:p w:rsidR="0060314F" w:rsidRDefault="0060314F" w:rsidP="0060314F">
      <w:pPr>
        <w:ind w:right="-50"/>
        <w:jc w:val="center"/>
        <w:rPr>
          <w:rFonts w:ascii="Calibri"/>
          <w:b/>
          <w:sz w:val="52"/>
        </w:rPr>
      </w:pPr>
    </w:p>
    <w:p w:rsidR="0060314F" w:rsidRDefault="0060314F" w:rsidP="0060314F">
      <w:pPr>
        <w:spacing w:line="634" w:lineRule="exact"/>
        <w:jc w:val="center"/>
        <w:rPr>
          <w:rFonts w:ascii="Calibri"/>
          <w:b/>
          <w:sz w:val="64"/>
          <w:szCs w:val="64"/>
        </w:rPr>
      </w:pPr>
      <w:r w:rsidRPr="00AF60BC">
        <w:rPr>
          <w:rFonts w:ascii="Calibri"/>
          <w:b/>
          <w:sz w:val="64"/>
          <w:szCs w:val="64"/>
        </w:rPr>
        <w:t>Fair Housing and Cultural Diversity</w:t>
      </w:r>
    </w:p>
    <w:p w:rsidR="0060314F" w:rsidRDefault="0060314F" w:rsidP="0060314F">
      <w:pPr>
        <w:spacing w:line="634" w:lineRule="exact"/>
        <w:jc w:val="center"/>
        <w:rPr>
          <w:rFonts w:ascii="Calibri"/>
          <w:b/>
          <w:sz w:val="64"/>
          <w:szCs w:val="64"/>
        </w:rPr>
      </w:pPr>
    </w:p>
    <w:p w:rsidR="0060314F" w:rsidRPr="00AF60BC" w:rsidRDefault="0060314F" w:rsidP="0060314F">
      <w:pPr>
        <w:spacing w:line="634" w:lineRule="exact"/>
        <w:jc w:val="center"/>
        <w:rPr>
          <w:rFonts w:ascii="Calibri"/>
          <w:b/>
          <w:sz w:val="64"/>
          <w:szCs w:val="64"/>
        </w:rPr>
      </w:pPr>
      <w:r>
        <w:rPr>
          <w:rFonts w:ascii="Calibri"/>
          <w:b/>
          <w:sz w:val="64"/>
          <w:szCs w:val="64"/>
        </w:rPr>
        <w:t>Instructor Manual</w:t>
      </w:r>
    </w:p>
    <w:p w:rsidR="0060314F" w:rsidRDefault="0060314F" w:rsidP="0060314F">
      <w:pPr>
        <w:pStyle w:val="BodyText"/>
        <w:ind w:right="-50"/>
        <w:rPr>
          <w:rFonts w:ascii="Calibri"/>
          <w:b/>
          <w:sz w:val="20"/>
        </w:rPr>
      </w:pPr>
    </w:p>
    <w:p w:rsidR="0060314F" w:rsidRDefault="0060314F" w:rsidP="0060314F">
      <w:pPr>
        <w:pStyle w:val="BodyText"/>
        <w:spacing w:before="8"/>
        <w:ind w:right="-50"/>
        <w:rPr>
          <w:rFonts w:ascii="Calibri"/>
          <w:b/>
          <w:sz w:val="52"/>
        </w:rPr>
      </w:pPr>
      <w:r>
        <w:rPr>
          <w:noProof/>
        </w:rPr>
        <w:drawing>
          <wp:anchor distT="0" distB="0" distL="0" distR="0" simplePos="0" relativeHeight="251808768" behindDoc="0" locked="0" layoutInCell="1" allowOverlap="1" wp14:anchorId="35471579" wp14:editId="030F8E90">
            <wp:simplePos x="0" y="0"/>
            <wp:positionH relativeFrom="page">
              <wp:posOffset>2495550</wp:posOffset>
            </wp:positionH>
            <wp:positionV relativeFrom="paragraph">
              <wp:posOffset>239395</wp:posOffset>
            </wp:positionV>
            <wp:extent cx="2797810" cy="2797810"/>
            <wp:effectExtent l="0" t="0" r="2540" b="2540"/>
            <wp:wrapTopAndBottom/>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7810" cy="2797810"/>
                    </a:xfrm>
                    <a:prstGeom prst="rect">
                      <a:avLst/>
                    </a:prstGeom>
                  </pic:spPr>
                </pic:pic>
              </a:graphicData>
            </a:graphic>
          </wp:anchor>
        </w:drawing>
      </w:r>
    </w:p>
    <w:p w:rsidR="0060314F" w:rsidRDefault="0060314F" w:rsidP="0060314F">
      <w:pPr>
        <w:ind w:right="-50"/>
        <w:jc w:val="center"/>
        <w:rPr>
          <w:rFonts w:ascii="Calibri"/>
          <w:b/>
          <w:sz w:val="36"/>
        </w:rPr>
      </w:pPr>
      <w:r>
        <w:rPr>
          <w:rFonts w:ascii="Calibri"/>
          <w:b/>
          <w:sz w:val="36"/>
        </w:rPr>
        <w:t>Prepared by:</w:t>
      </w:r>
    </w:p>
    <w:p w:rsidR="0060314F" w:rsidRDefault="0060314F" w:rsidP="0060314F">
      <w:pPr>
        <w:ind w:right="-50"/>
        <w:jc w:val="center"/>
        <w:rPr>
          <w:rFonts w:ascii="Calibri"/>
          <w:b/>
          <w:sz w:val="36"/>
        </w:rPr>
      </w:pPr>
      <w:r w:rsidRPr="00AF60BC">
        <w:rPr>
          <w:rFonts w:ascii="Calibri"/>
          <w:b/>
          <w:sz w:val="36"/>
        </w:rPr>
        <w:t>Cheryl Knowlton</w:t>
      </w:r>
      <w:r>
        <w:rPr>
          <w:rFonts w:ascii="Calibri"/>
          <w:b/>
          <w:sz w:val="36"/>
        </w:rPr>
        <w:t>, CSP, DREI</w:t>
      </w:r>
    </w:p>
    <w:p w:rsidR="0060314F" w:rsidRPr="00AF60BC" w:rsidRDefault="0060314F" w:rsidP="0060314F">
      <w:pPr>
        <w:ind w:right="-50"/>
        <w:jc w:val="center"/>
        <w:rPr>
          <w:rFonts w:ascii="Calibri"/>
          <w:b/>
          <w:sz w:val="36"/>
        </w:rPr>
      </w:pPr>
    </w:p>
    <w:p w:rsidR="0060314F" w:rsidRDefault="0060314F" w:rsidP="0060314F">
      <w:pPr>
        <w:ind w:right="-50"/>
        <w:jc w:val="center"/>
      </w:pPr>
      <w:r>
        <w:rPr>
          <w:rFonts w:ascii="Calibri"/>
          <w:sz w:val="36"/>
        </w:rPr>
        <w:t xml:space="preserve">A Louisiana Real Estate </w:t>
      </w:r>
      <w:r w:rsidR="00AF2642">
        <w:rPr>
          <w:rFonts w:ascii="Calibri"/>
          <w:sz w:val="36"/>
        </w:rPr>
        <w:t xml:space="preserve">Commission </w:t>
      </w:r>
      <w:r>
        <w:rPr>
          <w:rFonts w:ascii="Calibri"/>
          <w:sz w:val="36"/>
        </w:rPr>
        <w:t>Publication</w:t>
      </w:r>
      <w:bookmarkEnd w:id="1"/>
    </w:p>
    <w:p w:rsidR="0072456F" w:rsidRPr="00F72FCC" w:rsidRDefault="0072456F" w:rsidP="0072456F">
      <w:pPr>
        <w:rPr>
          <w:b/>
          <w:sz w:val="72"/>
          <w:szCs w:val="72"/>
        </w:rPr>
      </w:pPr>
    </w:p>
    <w:p w:rsidR="00C42C09" w:rsidRDefault="00C42C09" w:rsidP="0060314F">
      <w:pPr>
        <w:jc w:val="center"/>
        <w:rPr>
          <w:b/>
        </w:rPr>
      </w:pPr>
      <w:bookmarkStart w:id="3" w:name="_Hlk19821240"/>
      <w:bookmarkEnd w:id="2"/>
      <w:bookmarkEnd w:id="3"/>
    </w:p>
    <w:sdt>
      <w:sdtPr>
        <w:rPr>
          <w:b/>
        </w:rPr>
        <w:id w:val="-1599168103"/>
        <w:docPartObj>
          <w:docPartGallery w:val="Table of Contents"/>
          <w:docPartUnique/>
        </w:docPartObj>
      </w:sdtPr>
      <w:sdtEndPr>
        <w:rPr>
          <w:b w:val="0"/>
          <w:noProof/>
        </w:rPr>
      </w:sdtEndPr>
      <w:sdtContent>
        <w:p w:rsidR="003D519C" w:rsidRPr="0060314F" w:rsidRDefault="0060314F" w:rsidP="0060314F">
          <w:pPr>
            <w:jc w:val="center"/>
            <w:rPr>
              <w:b/>
              <w:bCs/>
            </w:rPr>
          </w:pPr>
          <w:r w:rsidRPr="0060314F">
            <w:rPr>
              <w:b/>
              <w:bCs/>
            </w:rPr>
            <w:t xml:space="preserve">Table of </w:t>
          </w:r>
          <w:r w:rsidR="003D519C" w:rsidRPr="0060314F">
            <w:rPr>
              <w:b/>
              <w:bCs/>
            </w:rPr>
            <w:t>Contents</w:t>
          </w:r>
        </w:p>
        <w:p w:rsidR="000A6F74" w:rsidRDefault="000A6F74">
          <w:pPr>
            <w:pStyle w:val="TOC1"/>
            <w:tabs>
              <w:tab w:val="right" w:leader="dot" w:pos="9350"/>
            </w:tabs>
          </w:pPr>
        </w:p>
        <w:p w:rsidR="004B3A41" w:rsidRDefault="00E62A87" w:rsidP="008D2297">
          <w:pPr>
            <w:pStyle w:val="TOC1"/>
            <w:tabs>
              <w:tab w:val="right" w:leader="dot" w:pos="9350"/>
            </w:tabs>
            <w:rPr>
              <w:rFonts w:eastAsiaTheme="minorEastAsia"/>
              <w:noProof/>
              <w:szCs w:val="22"/>
            </w:rPr>
          </w:pPr>
          <w:r>
            <w:fldChar w:fldCharType="begin"/>
          </w:r>
          <w:r>
            <w:instrText xml:space="preserve"> TOC \o "1-4" \u </w:instrText>
          </w:r>
          <w:r>
            <w:fldChar w:fldCharType="separate"/>
          </w:r>
          <w:r w:rsidR="004B3A41">
            <w:rPr>
              <w:noProof/>
            </w:rPr>
            <w:t>Instructor Checklist</w:t>
          </w:r>
          <w:r w:rsidR="004B3A41">
            <w:rPr>
              <w:noProof/>
            </w:rPr>
            <w:tab/>
          </w:r>
          <w:r w:rsidR="008D2297">
            <w:rPr>
              <w:noProof/>
            </w:rPr>
            <w:t>3</w:t>
          </w:r>
        </w:p>
        <w:p w:rsidR="004B3A41" w:rsidRPr="002216AF" w:rsidRDefault="004B3A41">
          <w:pPr>
            <w:pStyle w:val="TOC4"/>
            <w:tabs>
              <w:tab w:val="right" w:leader="dot" w:pos="9350"/>
            </w:tabs>
            <w:rPr>
              <w:rFonts w:eastAsiaTheme="minorEastAsia"/>
              <w:noProof/>
              <w:sz w:val="22"/>
              <w:szCs w:val="22"/>
            </w:rPr>
          </w:pPr>
          <w:r w:rsidRPr="002216AF">
            <w:rPr>
              <w:noProof/>
              <w:sz w:val="22"/>
              <w:szCs w:val="22"/>
            </w:rPr>
            <w:t>Before Teaching This Course</w:t>
          </w:r>
          <w:r w:rsidRPr="002216AF">
            <w:rPr>
              <w:noProof/>
              <w:sz w:val="22"/>
              <w:szCs w:val="22"/>
            </w:rPr>
            <w:tab/>
          </w:r>
          <w:r w:rsidR="008D2297" w:rsidRPr="002216AF">
            <w:rPr>
              <w:noProof/>
              <w:sz w:val="22"/>
              <w:szCs w:val="22"/>
            </w:rPr>
            <w:t>3</w:t>
          </w:r>
        </w:p>
        <w:p w:rsidR="004B3A41" w:rsidRDefault="004B3A41">
          <w:pPr>
            <w:pStyle w:val="TOC4"/>
            <w:tabs>
              <w:tab w:val="right" w:leader="dot" w:pos="9350"/>
            </w:tabs>
            <w:rPr>
              <w:rFonts w:eastAsiaTheme="minorEastAsia"/>
              <w:noProof/>
              <w:sz w:val="22"/>
              <w:szCs w:val="22"/>
            </w:rPr>
          </w:pPr>
          <w:r w:rsidRPr="002216AF">
            <w:rPr>
              <w:noProof/>
              <w:sz w:val="22"/>
              <w:szCs w:val="22"/>
            </w:rPr>
            <w:t>The Day of the Course</w:t>
          </w:r>
          <w:r>
            <w:rPr>
              <w:noProof/>
            </w:rPr>
            <w:tab/>
          </w:r>
          <w:r w:rsidR="008D2297">
            <w:rPr>
              <w:noProof/>
            </w:rPr>
            <w:t>3</w:t>
          </w:r>
        </w:p>
        <w:p w:rsidR="004B3A41" w:rsidRDefault="004B3A41">
          <w:pPr>
            <w:pStyle w:val="TOC2"/>
            <w:tabs>
              <w:tab w:val="right" w:leader="dot" w:pos="9350"/>
            </w:tabs>
            <w:rPr>
              <w:rFonts w:eastAsiaTheme="minorEastAsia"/>
              <w:noProof/>
              <w:szCs w:val="22"/>
            </w:rPr>
          </w:pPr>
          <w:r>
            <w:rPr>
              <w:noProof/>
            </w:rPr>
            <w:t>Diversity Playlist</w:t>
          </w:r>
          <w:r>
            <w:rPr>
              <w:noProof/>
            </w:rPr>
            <w:tab/>
          </w:r>
          <w:r w:rsidR="008D2297">
            <w:rPr>
              <w:noProof/>
            </w:rPr>
            <w:t>4</w:t>
          </w:r>
        </w:p>
        <w:p w:rsidR="002216AF" w:rsidRDefault="002216AF" w:rsidP="002216AF">
          <w:pPr>
            <w:pStyle w:val="TOC2"/>
            <w:tabs>
              <w:tab w:val="right" w:leader="dot" w:pos="9350"/>
            </w:tabs>
            <w:rPr>
              <w:rFonts w:eastAsiaTheme="minorEastAsia"/>
              <w:noProof/>
              <w:szCs w:val="22"/>
            </w:rPr>
          </w:pPr>
          <w:r>
            <w:rPr>
              <w:noProof/>
            </w:rPr>
            <w:t>Timed Outline</w:t>
          </w:r>
          <w:r>
            <w:rPr>
              <w:noProof/>
            </w:rPr>
            <w:tab/>
            <w:t>7</w:t>
          </w:r>
        </w:p>
        <w:p w:rsidR="008D2297" w:rsidRDefault="008D2297" w:rsidP="008D2297">
          <w:pPr>
            <w:pStyle w:val="TOC2"/>
            <w:tabs>
              <w:tab w:val="right" w:leader="dot" w:pos="9350"/>
            </w:tabs>
            <w:rPr>
              <w:rFonts w:eastAsiaTheme="minorEastAsia"/>
              <w:noProof/>
              <w:szCs w:val="22"/>
            </w:rPr>
          </w:pPr>
          <w:r>
            <w:rPr>
              <w:noProof/>
            </w:rPr>
            <w:t>Our three Most Important Learning Objectives are:</w:t>
          </w:r>
          <w:r>
            <w:rPr>
              <w:noProof/>
            </w:rPr>
            <w:tab/>
          </w:r>
          <w:r w:rsidR="002216AF">
            <w:rPr>
              <w:noProof/>
            </w:rPr>
            <w:t>8</w:t>
          </w:r>
        </w:p>
        <w:p w:rsidR="004B3A41" w:rsidRDefault="004B3A41">
          <w:pPr>
            <w:pStyle w:val="TOC2"/>
            <w:tabs>
              <w:tab w:val="right" w:leader="dot" w:pos="9350"/>
            </w:tabs>
            <w:rPr>
              <w:rFonts w:eastAsiaTheme="minorEastAsia"/>
              <w:noProof/>
              <w:szCs w:val="22"/>
            </w:rPr>
          </w:pPr>
          <w:r>
            <w:rPr>
              <w:noProof/>
            </w:rPr>
            <w:t>PART 1: Laying the Foundation | Introduction and Course Overview</w:t>
          </w:r>
          <w:r>
            <w:rPr>
              <w:noProof/>
            </w:rPr>
            <w:tab/>
          </w:r>
          <w:r w:rsidR="002216AF">
            <w:rPr>
              <w:noProof/>
            </w:rPr>
            <w:t>10</w:t>
          </w:r>
        </w:p>
        <w:p w:rsidR="004B3A41" w:rsidRDefault="004B3A41">
          <w:pPr>
            <w:pStyle w:val="TOC3"/>
            <w:tabs>
              <w:tab w:val="right" w:leader="dot" w:pos="9350"/>
            </w:tabs>
            <w:rPr>
              <w:rFonts w:eastAsiaTheme="minorEastAsia"/>
              <w:noProof/>
              <w:szCs w:val="22"/>
            </w:rPr>
          </w:pPr>
          <w:r>
            <w:rPr>
              <w:noProof/>
            </w:rPr>
            <w:t>Why Do We Need to Know This?</w:t>
          </w:r>
          <w:r>
            <w:rPr>
              <w:noProof/>
            </w:rPr>
            <w:tab/>
          </w:r>
          <w:r w:rsidR="002216AF">
            <w:rPr>
              <w:noProof/>
            </w:rPr>
            <w:t>10</w:t>
          </w:r>
        </w:p>
        <w:p w:rsidR="004B3A41" w:rsidRDefault="004B3A41">
          <w:pPr>
            <w:pStyle w:val="TOC3"/>
            <w:tabs>
              <w:tab w:val="right" w:leader="dot" w:pos="9350"/>
            </w:tabs>
            <w:rPr>
              <w:rFonts w:eastAsiaTheme="minorEastAsia"/>
              <w:noProof/>
              <w:szCs w:val="22"/>
            </w:rPr>
          </w:pPr>
          <w:r>
            <w:rPr>
              <w:noProof/>
            </w:rPr>
            <w:t>Fair Housing Quiz</w:t>
          </w:r>
          <w:r>
            <w:rPr>
              <w:noProof/>
            </w:rPr>
            <w:tab/>
          </w:r>
          <w:r>
            <w:rPr>
              <w:noProof/>
            </w:rPr>
            <w:fldChar w:fldCharType="begin"/>
          </w:r>
          <w:r>
            <w:rPr>
              <w:noProof/>
            </w:rPr>
            <w:instrText xml:space="preserve"> PAGEREF _Toc20256108 \h </w:instrText>
          </w:r>
          <w:r>
            <w:rPr>
              <w:noProof/>
            </w:rPr>
          </w:r>
          <w:r>
            <w:rPr>
              <w:noProof/>
            </w:rPr>
            <w:fldChar w:fldCharType="separate"/>
          </w:r>
          <w:r w:rsidR="0035624E">
            <w:rPr>
              <w:noProof/>
            </w:rPr>
            <w:t>12</w:t>
          </w:r>
          <w:r>
            <w:rPr>
              <w:noProof/>
            </w:rPr>
            <w:fldChar w:fldCharType="end"/>
          </w:r>
        </w:p>
        <w:p w:rsidR="004B3A41" w:rsidRDefault="004B3A41">
          <w:pPr>
            <w:pStyle w:val="TOC3"/>
            <w:tabs>
              <w:tab w:val="right" w:leader="dot" w:pos="9350"/>
            </w:tabs>
            <w:rPr>
              <w:rFonts w:eastAsiaTheme="minorEastAsia"/>
              <w:noProof/>
              <w:szCs w:val="22"/>
            </w:rPr>
          </w:pPr>
          <w:r>
            <w:rPr>
              <w:noProof/>
            </w:rPr>
            <w:t>Fair Housing Quiz Answers and Explanations</w:t>
          </w:r>
          <w:r>
            <w:rPr>
              <w:noProof/>
            </w:rPr>
            <w:tab/>
          </w:r>
          <w:r w:rsidR="002216AF">
            <w:rPr>
              <w:noProof/>
            </w:rPr>
            <w:t>15</w:t>
          </w:r>
        </w:p>
        <w:p w:rsidR="004B3A41" w:rsidRDefault="004B3A41">
          <w:pPr>
            <w:pStyle w:val="TOC3"/>
            <w:tabs>
              <w:tab w:val="right" w:leader="dot" w:pos="9350"/>
            </w:tabs>
            <w:rPr>
              <w:rFonts w:eastAsiaTheme="minorEastAsia"/>
              <w:noProof/>
              <w:szCs w:val="22"/>
            </w:rPr>
          </w:pPr>
          <w:r>
            <w:rPr>
              <w:noProof/>
            </w:rPr>
            <w:t>Review of Federally Protected Classes</w:t>
          </w:r>
          <w:r>
            <w:rPr>
              <w:noProof/>
            </w:rPr>
            <w:tab/>
          </w:r>
          <w:r w:rsidR="008D2297">
            <w:rPr>
              <w:noProof/>
            </w:rPr>
            <w:t>17</w:t>
          </w:r>
        </w:p>
        <w:p w:rsidR="004B3A41" w:rsidRDefault="004B3A41">
          <w:pPr>
            <w:pStyle w:val="TOC3"/>
            <w:tabs>
              <w:tab w:val="right" w:leader="dot" w:pos="9350"/>
            </w:tabs>
            <w:rPr>
              <w:rFonts w:eastAsiaTheme="minorEastAsia"/>
              <w:noProof/>
              <w:szCs w:val="22"/>
            </w:rPr>
          </w:pPr>
          <w:r>
            <w:rPr>
              <w:noProof/>
            </w:rPr>
            <w:t>DEFINITIONS</w:t>
          </w:r>
          <w:r>
            <w:rPr>
              <w:noProof/>
            </w:rPr>
            <w:tab/>
          </w:r>
          <w:r w:rsidR="008D2297">
            <w:rPr>
              <w:noProof/>
            </w:rPr>
            <w:t>18</w:t>
          </w:r>
        </w:p>
        <w:p w:rsidR="004B3A41" w:rsidRDefault="004B3A41">
          <w:pPr>
            <w:pStyle w:val="TOC3"/>
            <w:tabs>
              <w:tab w:val="right" w:leader="dot" w:pos="9350"/>
            </w:tabs>
            <w:rPr>
              <w:rFonts w:eastAsiaTheme="minorEastAsia"/>
              <w:noProof/>
              <w:szCs w:val="22"/>
            </w:rPr>
          </w:pPr>
          <w:r>
            <w:rPr>
              <w:noProof/>
            </w:rPr>
            <w:t>Review of State Protected Classes</w:t>
          </w:r>
          <w:r>
            <w:rPr>
              <w:noProof/>
            </w:rPr>
            <w:tab/>
          </w:r>
          <w:r>
            <w:rPr>
              <w:noProof/>
            </w:rPr>
            <w:fldChar w:fldCharType="begin"/>
          </w:r>
          <w:r>
            <w:rPr>
              <w:noProof/>
            </w:rPr>
            <w:instrText xml:space="preserve"> PAGEREF _Toc20256112 \h </w:instrText>
          </w:r>
          <w:r>
            <w:rPr>
              <w:noProof/>
            </w:rPr>
          </w:r>
          <w:r>
            <w:rPr>
              <w:noProof/>
            </w:rPr>
            <w:fldChar w:fldCharType="separate"/>
          </w:r>
          <w:r w:rsidR="0035624E">
            <w:rPr>
              <w:noProof/>
            </w:rPr>
            <w:t>21</w:t>
          </w:r>
          <w:r>
            <w:rPr>
              <w:noProof/>
            </w:rPr>
            <w:fldChar w:fldCharType="end"/>
          </w:r>
        </w:p>
        <w:p w:rsidR="004B3A41" w:rsidRDefault="004B3A41">
          <w:pPr>
            <w:pStyle w:val="TOC3"/>
            <w:tabs>
              <w:tab w:val="right" w:leader="dot" w:pos="9350"/>
            </w:tabs>
            <w:rPr>
              <w:rFonts w:eastAsiaTheme="minorEastAsia"/>
              <w:noProof/>
              <w:szCs w:val="22"/>
            </w:rPr>
          </w:pPr>
          <w:r>
            <w:rPr>
              <w:noProof/>
            </w:rPr>
            <w:t>Exercise:</w:t>
          </w:r>
          <w:r>
            <w:rPr>
              <w:noProof/>
            </w:rPr>
            <w:tab/>
          </w:r>
          <w:r w:rsidR="0035624E">
            <w:rPr>
              <w:noProof/>
            </w:rPr>
            <w:t>22</w:t>
          </w:r>
        </w:p>
        <w:p w:rsidR="004B3A41" w:rsidRDefault="004B3A41">
          <w:pPr>
            <w:pStyle w:val="TOC3"/>
            <w:tabs>
              <w:tab w:val="right" w:leader="dot" w:pos="9350"/>
            </w:tabs>
            <w:rPr>
              <w:rFonts w:eastAsiaTheme="minorEastAsia"/>
              <w:noProof/>
              <w:szCs w:val="22"/>
            </w:rPr>
          </w:pPr>
          <w:r>
            <w:rPr>
              <w:noProof/>
            </w:rPr>
            <w:t>Group Discussion: The Sting of Discrimination</w:t>
          </w:r>
          <w:r>
            <w:rPr>
              <w:noProof/>
            </w:rPr>
            <w:tab/>
          </w:r>
          <w:r w:rsidR="008D2297">
            <w:rPr>
              <w:noProof/>
            </w:rPr>
            <w:t>23</w:t>
          </w:r>
        </w:p>
        <w:p w:rsidR="004B3A41" w:rsidRPr="002216AF" w:rsidRDefault="004B3A41">
          <w:pPr>
            <w:pStyle w:val="TOC2"/>
            <w:tabs>
              <w:tab w:val="right" w:leader="dot" w:pos="9350"/>
            </w:tabs>
            <w:rPr>
              <w:rFonts w:eastAsiaTheme="minorEastAsia"/>
              <w:noProof/>
              <w:sz w:val="20"/>
              <w:szCs w:val="22"/>
            </w:rPr>
          </w:pPr>
          <w:r>
            <w:rPr>
              <w:noProof/>
            </w:rPr>
            <w:t>PART 2: A Murderer With a Pitbull – Part 1</w:t>
          </w:r>
          <w:r>
            <w:rPr>
              <w:noProof/>
            </w:rPr>
            <w:tab/>
          </w:r>
          <w:r w:rsidR="002216AF">
            <w:rPr>
              <w:noProof/>
            </w:rPr>
            <w:t>26</w:t>
          </w:r>
        </w:p>
        <w:p w:rsidR="004B3A41" w:rsidRDefault="004B3A41">
          <w:pPr>
            <w:pStyle w:val="TOC3"/>
            <w:tabs>
              <w:tab w:val="right" w:leader="dot" w:pos="9350"/>
            </w:tabs>
            <w:rPr>
              <w:rFonts w:eastAsiaTheme="minorEastAsia"/>
              <w:noProof/>
              <w:szCs w:val="22"/>
            </w:rPr>
          </w:pPr>
          <w:r>
            <w:rPr>
              <w:noProof/>
            </w:rPr>
            <w:t>Introduction to Disparate Impact</w:t>
          </w:r>
          <w:r>
            <w:rPr>
              <w:noProof/>
            </w:rPr>
            <w:tab/>
          </w:r>
          <w:r w:rsidR="008D2297">
            <w:rPr>
              <w:noProof/>
            </w:rPr>
            <w:t>27</w:t>
          </w:r>
        </w:p>
        <w:p w:rsidR="004B3A41" w:rsidRDefault="004B3A41">
          <w:pPr>
            <w:pStyle w:val="TOC2"/>
            <w:tabs>
              <w:tab w:val="right" w:leader="dot" w:pos="9350"/>
            </w:tabs>
            <w:rPr>
              <w:rFonts w:eastAsiaTheme="minorEastAsia"/>
              <w:noProof/>
              <w:szCs w:val="22"/>
            </w:rPr>
          </w:pPr>
          <w:r>
            <w:rPr>
              <w:noProof/>
            </w:rPr>
            <w:t>PART 3: Service Animals vs Emotional Support Animals</w:t>
          </w:r>
          <w:r>
            <w:rPr>
              <w:noProof/>
            </w:rPr>
            <w:tab/>
          </w:r>
          <w:r w:rsidR="008D2297">
            <w:rPr>
              <w:noProof/>
            </w:rPr>
            <w:t>30</w:t>
          </w:r>
        </w:p>
        <w:p w:rsidR="004B3A41" w:rsidRDefault="004B3A41">
          <w:pPr>
            <w:pStyle w:val="TOC3"/>
            <w:tabs>
              <w:tab w:val="right" w:leader="dot" w:pos="9350"/>
            </w:tabs>
            <w:rPr>
              <w:rFonts w:eastAsiaTheme="minorEastAsia"/>
              <w:noProof/>
              <w:szCs w:val="22"/>
            </w:rPr>
          </w:pPr>
          <w:r>
            <w:rPr>
              <w:noProof/>
            </w:rPr>
            <w:t>Handicap and Fair Housing</w:t>
          </w:r>
          <w:r>
            <w:rPr>
              <w:noProof/>
            </w:rPr>
            <w:tab/>
          </w:r>
          <w:r w:rsidR="008D2297">
            <w:rPr>
              <w:noProof/>
            </w:rPr>
            <w:t>30</w:t>
          </w:r>
        </w:p>
        <w:p w:rsidR="004B3A41" w:rsidRDefault="004B3A41">
          <w:pPr>
            <w:pStyle w:val="TOC3"/>
            <w:tabs>
              <w:tab w:val="right" w:leader="dot" w:pos="9350"/>
            </w:tabs>
            <w:rPr>
              <w:rFonts w:eastAsiaTheme="minorEastAsia"/>
              <w:noProof/>
              <w:szCs w:val="22"/>
            </w:rPr>
          </w:pPr>
          <w:r>
            <w:rPr>
              <w:noProof/>
            </w:rPr>
            <w:t>Service Animals and Emotional Support Animals</w:t>
          </w:r>
          <w:r>
            <w:rPr>
              <w:noProof/>
            </w:rPr>
            <w:tab/>
          </w:r>
          <w:r w:rsidR="008D2297">
            <w:rPr>
              <w:noProof/>
            </w:rPr>
            <w:t>31</w:t>
          </w:r>
        </w:p>
        <w:p w:rsidR="004B3A41" w:rsidRDefault="004B3A41">
          <w:pPr>
            <w:pStyle w:val="TOC3"/>
            <w:tabs>
              <w:tab w:val="right" w:leader="dot" w:pos="9350"/>
            </w:tabs>
            <w:rPr>
              <w:rFonts w:eastAsiaTheme="minorEastAsia"/>
              <w:noProof/>
              <w:szCs w:val="22"/>
            </w:rPr>
          </w:pPr>
          <w:r>
            <w:rPr>
              <w:noProof/>
            </w:rPr>
            <w:t>Case Study</w:t>
          </w:r>
          <w:r>
            <w:rPr>
              <w:noProof/>
            </w:rPr>
            <w:tab/>
          </w:r>
          <w:r w:rsidR="008D2297">
            <w:rPr>
              <w:noProof/>
            </w:rPr>
            <w:t>33</w:t>
          </w:r>
        </w:p>
        <w:p w:rsidR="004B3A41" w:rsidRDefault="004B3A41">
          <w:pPr>
            <w:pStyle w:val="TOC3"/>
            <w:tabs>
              <w:tab w:val="right" w:leader="dot" w:pos="9350"/>
            </w:tabs>
            <w:rPr>
              <w:rFonts w:eastAsiaTheme="minorEastAsia"/>
              <w:noProof/>
              <w:szCs w:val="22"/>
            </w:rPr>
          </w:pPr>
          <w:r>
            <w:rPr>
              <w:noProof/>
            </w:rPr>
            <w:t>Group Discussion: Case Study Debrief</w:t>
          </w:r>
          <w:r>
            <w:rPr>
              <w:noProof/>
            </w:rPr>
            <w:tab/>
          </w:r>
          <w:r>
            <w:rPr>
              <w:noProof/>
            </w:rPr>
            <w:fldChar w:fldCharType="begin"/>
          </w:r>
          <w:r>
            <w:rPr>
              <w:noProof/>
            </w:rPr>
            <w:instrText xml:space="preserve"> PAGEREF _Toc20256121 \h </w:instrText>
          </w:r>
          <w:r>
            <w:rPr>
              <w:noProof/>
            </w:rPr>
          </w:r>
          <w:r>
            <w:rPr>
              <w:noProof/>
            </w:rPr>
            <w:fldChar w:fldCharType="separate"/>
          </w:r>
          <w:r w:rsidR="0035624E">
            <w:rPr>
              <w:noProof/>
            </w:rPr>
            <w:t>51</w:t>
          </w:r>
          <w:r>
            <w:rPr>
              <w:noProof/>
            </w:rPr>
            <w:fldChar w:fldCharType="end"/>
          </w:r>
        </w:p>
        <w:p w:rsidR="004B3A41" w:rsidRDefault="004B3A41">
          <w:pPr>
            <w:pStyle w:val="TOC2"/>
            <w:tabs>
              <w:tab w:val="right" w:leader="dot" w:pos="9350"/>
            </w:tabs>
            <w:rPr>
              <w:rFonts w:eastAsiaTheme="minorEastAsia"/>
              <w:noProof/>
              <w:szCs w:val="22"/>
            </w:rPr>
          </w:pPr>
          <w:r>
            <w:rPr>
              <w:noProof/>
            </w:rPr>
            <w:t>PART 4: Cultural Diversity and Bias</w:t>
          </w:r>
          <w:r>
            <w:rPr>
              <w:noProof/>
            </w:rPr>
            <w:tab/>
          </w:r>
          <w:r w:rsidR="008D2297">
            <w:rPr>
              <w:noProof/>
            </w:rPr>
            <w:t>52</w:t>
          </w:r>
        </w:p>
        <w:p w:rsidR="004B3A41" w:rsidRDefault="004B3A41">
          <w:pPr>
            <w:pStyle w:val="TOC3"/>
            <w:tabs>
              <w:tab w:val="right" w:leader="dot" w:pos="9350"/>
            </w:tabs>
            <w:rPr>
              <w:rFonts w:eastAsiaTheme="minorEastAsia"/>
              <w:noProof/>
              <w:szCs w:val="22"/>
            </w:rPr>
          </w:pPr>
          <w:r>
            <w:rPr>
              <w:noProof/>
            </w:rPr>
            <w:t>Cultural Game</w:t>
          </w:r>
          <w:r>
            <w:rPr>
              <w:noProof/>
            </w:rPr>
            <w:tab/>
          </w:r>
          <w:r w:rsidR="008D2297">
            <w:rPr>
              <w:noProof/>
            </w:rPr>
            <w:t>54</w:t>
          </w:r>
        </w:p>
        <w:p w:rsidR="00C42C09" w:rsidRDefault="00C42C09">
          <w:pPr>
            <w:pStyle w:val="TOC2"/>
            <w:tabs>
              <w:tab w:val="right" w:leader="dot" w:pos="9350"/>
            </w:tabs>
            <w:rPr>
              <w:noProof/>
            </w:rPr>
          </w:pPr>
          <w:r>
            <w:rPr>
              <w:noProof/>
            </w:rPr>
            <w:t>Wrap Up</w:t>
          </w:r>
          <w:r w:rsidR="008D2297">
            <w:rPr>
              <w:noProof/>
            </w:rPr>
            <w:t>………………………………………………………………………………………………………………………………………….. 55</w:t>
          </w:r>
        </w:p>
        <w:p w:rsidR="004B3A41" w:rsidRDefault="004B3A41">
          <w:pPr>
            <w:pStyle w:val="TOC2"/>
            <w:tabs>
              <w:tab w:val="right" w:leader="dot" w:pos="9350"/>
            </w:tabs>
            <w:rPr>
              <w:rFonts w:eastAsiaTheme="minorEastAsia"/>
              <w:noProof/>
              <w:szCs w:val="22"/>
            </w:rPr>
          </w:pPr>
          <w:r>
            <w:rPr>
              <w:noProof/>
            </w:rPr>
            <w:t>Resources</w:t>
          </w:r>
          <w:r>
            <w:rPr>
              <w:noProof/>
            </w:rPr>
            <w:tab/>
          </w:r>
          <w:r w:rsidR="00C42C09">
            <w:rPr>
              <w:noProof/>
            </w:rPr>
            <w:t>63</w:t>
          </w:r>
        </w:p>
        <w:p w:rsidR="004B3A41" w:rsidRDefault="004B3A41">
          <w:pPr>
            <w:pStyle w:val="TOC3"/>
            <w:tabs>
              <w:tab w:val="right" w:leader="dot" w:pos="9350"/>
            </w:tabs>
            <w:rPr>
              <w:rFonts w:eastAsiaTheme="minorEastAsia"/>
              <w:noProof/>
              <w:szCs w:val="22"/>
            </w:rPr>
          </w:pPr>
          <w:r>
            <w:rPr>
              <w:noProof/>
            </w:rPr>
            <w:t>Websites</w:t>
          </w:r>
          <w:r>
            <w:rPr>
              <w:noProof/>
            </w:rPr>
            <w:tab/>
          </w:r>
          <w:r w:rsidR="00C42C09">
            <w:rPr>
              <w:noProof/>
            </w:rPr>
            <w:t>63</w:t>
          </w:r>
        </w:p>
        <w:p w:rsidR="004B3A41" w:rsidRDefault="004B3A41">
          <w:pPr>
            <w:pStyle w:val="TOC3"/>
            <w:tabs>
              <w:tab w:val="right" w:leader="dot" w:pos="9350"/>
            </w:tabs>
            <w:rPr>
              <w:rFonts w:eastAsiaTheme="minorEastAsia"/>
              <w:noProof/>
              <w:szCs w:val="22"/>
            </w:rPr>
          </w:pPr>
          <w:r>
            <w:rPr>
              <w:noProof/>
            </w:rPr>
            <w:t>Books</w:t>
          </w:r>
          <w:r>
            <w:rPr>
              <w:noProof/>
            </w:rPr>
            <w:tab/>
          </w:r>
          <w:r w:rsidR="00C42C09">
            <w:rPr>
              <w:noProof/>
            </w:rPr>
            <w:t>63</w:t>
          </w:r>
        </w:p>
        <w:p w:rsidR="004B3A41" w:rsidRDefault="004B3A41">
          <w:pPr>
            <w:pStyle w:val="TOC3"/>
            <w:tabs>
              <w:tab w:val="right" w:leader="dot" w:pos="9350"/>
            </w:tabs>
            <w:rPr>
              <w:rFonts w:eastAsiaTheme="minorEastAsia"/>
              <w:noProof/>
              <w:szCs w:val="22"/>
            </w:rPr>
          </w:pPr>
          <w:r>
            <w:rPr>
              <w:noProof/>
            </w:rPr>
            <w:t>NAR Certification Course</w:t>
          </w:r>
          <w:r>
            <w:rPr>
              <w:noProof/>
            </w:rPr>
            <w:tab/>
          </w:r>
          <w:r w:rsidR="00C42C09">
            <w:rPr>
              <w:noProof/>
            </w:rPr>
            <w:t>64</w:t>
          </w:r>
        </w:p>
        <w:p w:rsidR="004B3A41" w:rsidRDefault="004B3A41">
          <w:pPr>
            <w:pStyle w:val="TOC3"/>
            <w:tabs>
              <w:tab w:val="right" w:leader="dot" w:pos="9350"/>
            </w:tabs>
            <w:rPr>
              <w:rFonts w:eastAsiaTheme="minorEastAsia"/>
              <w:noProof/>
              <w:szCs w:val="22"/>
            </w:rPr>
          </w:pPr>
          <w:r>
            <w:rPr>
              <w:noProof/>
            </w:rPr>
            <w:t>Videos</w:t>
          </w:r>
          <w:r>
            <w:rPr>
              <w:noProof/>
            </w:rPr>
            <w:tab/>
          </w:r>
          <w:r w:rsidR="00C42C09">
            <w:rPr>
              <w:noProof/>
            </w:rPr>
            <w:t>64</w:t>
          </w:r>
        </w:p>
        <w:p w:rsidR="004B3A41" w:rsidRDefault="004B3A41">
          <w:pPr>
            <w:pStyle w:val="TOC3"/>
            <w:tabs>
              <w:tab w:val="right" w:leader="dot" w:pos="9350"/>
            </w:tabs>
            <w:rPr>
              <w:rFonts w:eastAsiaTheme="minorEastAsia"/>
              <w:noProof/>
              <w:szCs w:val="22"/>
            </w:rPr>
          </w:pPr>
          <w:r>
            <w:rPr>
              <w:noProof/>
            </w:rPr>
            <w:t>Movies that shed light on discrimination</w:t>
          </w:r>
          <w:r>
            <w:rPr>
              <w:noProof/>
            </w:rPr>
            <w:tab/>
          </w:r>
          <w:r w:rsidR="00C42C09">
            <w:rPr>
              <w:noProof/>
            </w:rPr>
            <w:t>66</w:t>
          </w:r>
        </w:p>
        <w:p w:rsidR="0035624E" w:rsidRDefault="004B3A41" w:rsidP="0035624E">
          <w:pPr>
            <w:pStyle w:val="TOC3"/>
            <w:tabs>
              <w:tab w:val="right" w:leader="dot" w:pos="9350"/>
            </w:tabs>
            <w:rPr>
              <w:noProof/>
            </w:rPr>
          </w:pPr>
          <w:r>
            <w:rPr>
              <w:noProof/>
            </w:rPr>
            <w:t>US Census—Louisiana</w:t>
          </w:r>
          <w:r>
            <w:rPr>
              <w:noProof/>
            </w:rPr>
            <w:tab/>
          </w:r>
          <w:r w:rsidR="0035624E">
            <w:rPr>
              <w:noProof/>
            </w:rPr>
            <w:t>67</w:t>
          </w:r>
        </w:p>
        <w:p w:rsidR="004B3A41" w:rsidRDefault="004B3A41" w:rsidP="0035624E">
          <w:pPr>
            <w:pStyle w:val="TOC3"/>
            <w:tabs>
              <w:tab w:val="right" w:leader="dot" w:pos="9350"/>
            </w:tabs>
            <w:rPr>
              <w:noProof/>
            </w:rPr>
          </w:pPr>
          <w:r>
            <w:rPr>
              <w:noProof/>
            </w:rPr>
            <w:t>INSTRUCTOR FINAL EXAM</w:t>
          </w:r>
          <w:r>
            <w:rPr>
              <w:noProof/>
            </w:rPr>
            <w:tab/>
          </w:r>
          <w:r w:rsidR="00C42C09">
            <w:rPr>
              <w:noProof/>
            </w:rPr>
            <w:t>71</w:t>
          </w:r>
        </w:p>
        <w:p w:rsidR="00953AAE" w:rsidRPr="00953AAE" w:rsidRDefault="00953AAE" w:rsidP="00953AAE">
          <w:r>
            <w:t xml:space="preserve">         Why is teaching fair housing so hard ……………………………………………………………………………….75</w:t>
          </w:r>
        </w:p>
        <w:p w:rsidR="008D2297" w:rsidRDefault="00E62A87" w:rsidP="004431F5">
          <w:r>
            <w:fldChar w:fldCharType="end"/>
          </w:r>
        </w:p>
        <w:p w:rsidR="003D519C" w:rsidRPr="004431F5" w:rsidRDefault="00A82B37" w:rsidP="004431F5"/>
      </w:sdtContent>
    </w:sdt>
    <w:p w:rsidR="00CD4517" w:rsidRPr="007440B7" w:rsidRDefault="00CD4517" w:rsidP="000A6F74">
      <w:pPr>
        <w:pStyle w:val="Heading2"/>
        <w:rPr>
          <w:noProof/>
        </w:rPr>
      </w:pPr>
      <w:bookmarkStart w:id="4" w:name="_Toc20256100"/>
      <w:r w:rsidRPr="00F72FCC">
        <w:lastRenderedPageBreak/>
        <w:t>Instructor Checklist</w:t>
      </w:r>
      <w:bookmarkEnd w:id="4"/>
    </w:p>
    <w:p w:rsidR="00CD4517" w:rsidRPr="00F72FCC" w:rsidRDefault="00CD4517" w:rsidP="00CD4517"/>
    <w:p w:rsidR="00CD4517" w:rsidRPr="00F72FCC" w:rsidRDefault="00CD4517" w:rsidP="00CE46FC">
      <w:pPr>
        <w:pStyle w:val="Heading4"/>
        <w:ind w:firstLine="360"/>
      </w:pPr>
      <w:bookmarkStart w:id="5" w:name="_Toc20256101"/>
      <w:r w:rsidRPr="00F72FCC">
        <w:t>Before Teaching This Course</w:t>
      </w:r>
      <w:bookmarkEnd w:id="5"/>
    </w:p>
    <w:p w:rsidR="00CD4517" w:rsidRPr="00F72FCC" w:rsidRDefault="00CD4517" w:rsidP="00CD4517"/>
    <w:p w:rsidR="00CD4517" w:rsidRPr="00F72FCC" w:rsidRDefault="00CD4517" w:rsidP="00CD4517">
      <w:pPr>
        <w:pStyle w:val="ListParagraph"/>
        <w:numPr>
          <w:ilvl w:val="0"/>
          <w:numId w:val="1"/>
        </w:numPr>
      </w:pPr>
      <w:r w:rsidRPr="00F72FCC">
        <w:t xml:space="preserve">Attend </w:t>
      </w:r>
      <w:r w:rsidR="0060314F">
        <w:t>LREC Train the Trainer</w:t>
      </w:r>
    </w:p>
    <w:p w:rsidR="00CD4517" w:rsidRPr="00F72FCC" w:rsidRDefault="00CD4517" w:rsidP="00CD4517"/>
    <w:p w:rsidR="00CD4517" w:rsidRPr="00F72FCC" w:rsidRDefault="0060314F" w:rsidP="00CD4517">
      <w:pPr>
        <w:pStyle w:val="ListParagraph"/>
        <w:numPr>
          <w:ilvl w:val="0"/>
          <w:numId w:val="1"/>
        </w:numPr>
      </w:pPr>
      <w:r>
        <w:t>Complete</w:t>
      </w:r>
      <w:r w:rsidR="00CD4517" w:rsidRPr="00F72FCC">
        <w:t xml:space="preserve"> the Instructor Exam </w:t>
      </w:r>
    </w:p>
    <w:p w:rsidR="00CD4517" w:rsidRPr="00F72FCC" w:rsidRDefault="00CD4517" w:rsidP="00CD4517"/>
    <w:p w:rsidR="00CD4517" w:rsidRPr="00F72FCC" w:rsidRDefault="00CD4517" w:rsidP="00CD4517">
      <w:pPr>
        <w:pStyle w:val="ListParagraph"/>
        <w:numPr>
          <w:ilvl w:val="0"/>
          <w:numId w:val="1"/>
        </w:numPr>
      </w:pPr>
      <w:r w:rsidRPr="00F72FCC">
        <w:t>Obtain the Power Point and Student Manual from the Louisiana Real Estate Commission</w:t>
      </w:r>
    </w:p>
    <w:p w:rsidR="00CD4517" w:rsidRPr="00F72FCC" w:rsidRDefault="00CD4517" w:rsidP="0060314F">
      <w:pPr>
        <w:ind w:left="360" w:firstLine="360"/>
      </w:pPr>
      <w:r w:rsidRPr="00F72FCC">
        <w:t>(Note: You will NOT be able to edit the slides)</w:t>
      </w:r>
    </w:p>
    <w:p w:rsidR="00CD4517" w:rsidRPr="00F72FCC" w:rsidRDefault="00CD4517" w:rsidP="00CD4517"/>
    <w:p w:rsidR="00CD4517" w:rsidRPr="00F72FCC" w:rsidRDefault="00CD4517" w:rsidP="00CD4517">
      <w:pPr>
        <w:pStyle w:val="ListParagraph"/>
        <w:numPr>
          <w:ilvl w:val="0"/>
          <w:numId w:val="1"/>
        </w:numPr>
      </w:pPr>
      <w:r w:rsidRPr="00F72FCC">
        <w:t xml:space="preserve">Review all materials, including the Power Point Presentation, Student Manual, and the Resources section </w:t>
      </w:r>
    </w:p>
    <w:p w:rsidR="00CD4517" w:rsidRPr="00F72FCC" w:rsidRDefault="00CD4517" w:rsidP="00CD4517"/>
    <w:p w:rsidR="00CD4517" w:rsidRPr="00F72FCC" w:rsidRDefault="00CD4517" w:rsidP="00CD4517">
      <w:pPr>
        <w:pStyle w:val="ListParagraph"/>
        <w:numPr>
          <w:ilvl w:val="0"/>
          <w:numId w:val="1"/>
        </w:numPr>
      </w:pPr>
      <w:r w:rsidRPr="00F72FCC">
        <w:t xml:space="preserve">Research local statistics </w:t>
      </w:r>
    </w:p>
    <w:p w:rsidR="00CD4517" w:rsidRPr="00F72FCC" w:rsidRDefault="00CD4517" w:rsidP="00CD4517"/>
    <w:p w:rsidR="00CD4517" w:rsidRPr="00F72FCC" w:rsidRDefault="00CD4517" w:rsidP="00CD4517">
      <w:pPr>
        <w:rPr>
          <w:b/>
          <w:sz w:val="32"/>
          <w:szCs w:val="32"/>
          <w:u w:val="single"/>
        </w:rPr>
      </w:pPr>
    </w:p>
    <w:p w:rsidR="00CD4517" w:rsidRPr="00F72FCC" w:rsidRDefault="00CD4517" w:rsidP="00CE46FC">
      <w:pPr>
        <w:pStyle w:val="Heading4"/>
        <w:ind w:firstLine="360"/>
      </w:pPr>
      <w:bookmarkStart w:id="6" w:name="_Toc20256102"/>
      <w:r w:rsidRPr="00F72FCC">
        <w:t>The Day of the Course</w:t>
      </w:r>
      <w:bookmarkEnd w:id="6"/>
    </w:p>
    <w:p w:rsidR="00CD4517" w:rsidRPr="00F72FCC" w:rsidRDefault="00CD4517" w:rsidP="00CD4517"/>
    <w:p w:rsidR="00CD4517" w:rsidRPr="00F72FCC" w:rsidRDefault="00CD4517" w:rsidP="00CD4517">
      <w:pPr>
        <w:pStyle w:val="ListParagraph"/>
        <w:numPr>
          <w:ilvl w:val="0"/>
          <w:numId w:val="2"/>
        </w:numPr>
      </w:pPr>
      <w:r w:rsidRPr="00F72FCC">
        <w:t>Arrive 1 hour ahead of time</w:t>
      </w:r>
    </w:p>
    <w:p w:rsidR="00CD4517" w:rsidRPr="00F72FCC" w:rsidRDefault="00CD4517" w:rsidP="00CD4517"/>
    <w:p w:rsidR="00CD4517" w:rsidRPr="00F72FCC" w:rsidRDefault="00CD4517" w:rsidP="00CD4517">
      <w:pPr>
        <w:pStyle w:val="ListParagraph"/>
        <w:numPr>
          <w:ilvl w:val="0"/>
          <w:numId w:val="2"/>
        </w:numPr>
      </w:pPr>
      <w:r w:rsidRPr="00F72FCC">
        <w:t>Assure seating is conducive to group engagement and interaction</w:t>
      </w:r>
    </w:p>
    <w:p w:rsidR="00CD4517" w:rsidRPr="00F72FCC" w:rsidRDefault="00CD4517" w:rsidP="00CD4517"/>
    <w:p w:rsidR="00CD4517" w:rsidRPr="00F72FCC" w:rsidRDefault="00CD4517" w:rsidP="00CD4517">
      <w:pPr>
        <w:pStyle w:val="ListParagraph"/>
        <w:numPr>
          <w:ilvl w:val="0"/>
          <w:numId w:val="2"/>
        </w:numPr>
      </w:pPr>
      <w:r w:rsidRPr="00F72FCC">
        <w:t>Prepare your laptop and have Power Point presentation</w:t>
      </w:r>
    </w:p>
    <w:p w:rsidR="00CD4517" w:rsidRPr="00F72FCC" w:rsidRDefault="00CD4517" w:rsidP="00CD4517"/>
    <w:p w:rsidR="00CD4517" w:rsidRPr="00F72FCC" w:rsidRDefault="00CD4517" w:rsidP="00CD4517">
      <w:pPr>
        <w:pStyle w:val="ListParagraph"/>
        <w:numPr>
          <w:ilvl w:val="0"/>
          <w:numId w:val="2"/>
        </w:numPr>
      </w:pPr>
      <w:r w:rsidRPr="00F72FCC">
        <w:t xml:space="preserve">Connect to the Wi-Fi in the room if you intend to take students on appropriate “Field Trips” or play the Kahoot game </w:t>
      </w:r>
    </w:p>
    <w:p w:rsidR="00CD4517" w:rsidRPr="00F72FCC" w:rsidRDefault="00CD4517" w:rsidP="00CD4517">
      <w:pPr>
        <w:pStyle w:val="ListParagraph"/>
      </w:pPr>
    </w:p>
    <w:p w:rsidR="00CD4517" w:rsidRPr="00F72FCC" w:rsidRDefault="00CD4517" w:rsidP="00CD4517">
      <w:pPr>
        <w:pStyle w:val="ListParagraph"/>
        <w:numPr>
          <w:ilvl w:val="0"/>
          <w:numId w:val="2"/>
        </w:numPr>
      </w:pPr>
      <w:r w:rsidRPr="00F72FCC">
        <w:t xml:space="preserve">Make certain each student has a Student Manual and a Name Tent </w:t>
      </w:r>
    </w:p>
    <w:p w:rsidR="00CD4517" w:rsidRPr="00F72FCC" w:rsidRDefault="00CD4517" w:rsidP="00CD4517"/>
    <w:p w:rsidR="00CD4517" w:rsidRDefault="00CD4517" w:rsidP="00CD4517">
      <w:r w:rsidRPr="00F72FCC">
        <w:t>Optional: Have playlist of songs related to diversity playing as students enter (Playlist included on next page)</w:t>
      </w:r>
    </w:p>
    <w:p w:rsidR="00502515" w:rsidRDefault="00502515" w:rsidP="00CD4517"/>
    <w:p w:rsidR="00502515" w:rsidRDefault="00502515" w:rsidP="00CD4517"/>
    <w:p w:rsidR="00502515" w:rsidRDefault="00502515" w:rsidP="00CD4517"/>
    <w:p w:rsidR="00502515" w:rsidRDefault="00502515" w:rsidP="00CD4517"/>
    <w:p w:rsidR="00502515" w:rsidRDefault="00502515" w:rsidP="00CD4517"/>
    <w:p w:rsidR="008D2297" w:rsidRDefault="008D2297" w:rsidP="00CD4517"/>
    <w:p w:rsidR="00502515" w:rsidRDefault="00502515" w:rsidP="00CD4517"/>
    <w:p w:rsidR="00502515" w:rsidRDefault="00502515" w:rsidP="00CD4517"/>
    <w:p w:rsidR="00502515" w:rsidRDefault="00502515" w:rsidP="00CD4517"/>
    <w:p w:rsidR="00502515" w:rsidRDefault="00502515" w:rsidP="00CD4517"/>
    <w:p w:rsidR="00502515" w:rsidRPr="00F72FCC" w:rsidRDefault="00502515" w:rsidP="00CD4517"/>
    <w:p w:rsidR="00CD4517" w:rsidRPr="00F72FCC" w:rsidRDefault="00CD4517" w:rsidP="00CD4517"/>
    <w:p w:rsidR="00CD4517" w:rsidRDefault="00CD4517" w:rsidP="000A6F74">
      <w:pPr>
        <w:pStyle w:val="Heading2"/>
      </w:pPr>
      <w:bookmarkStart w:id="7" w:name="_Toc20256103"/>
      <w:r w:rsidRPr="00F72FCC">
        <w:lastRenderedPageBreak/>
        <w:t>Diversity Playlist</w:t>
      </w:r>
      <w:bookmarkEnd w:id="7"/>
    </w:p>
    <w:p w:rsidR="0041029E" w:rsidRPr="0041029E" w:rsidRDefault="0041029E" w:rsidP="0041029E"/>
    <w:tbl>
      <w:tblPr>
        <w:tblStyle w:val="TableGrid"/>
        <w:tblW w:w="0" w:type="auto"/>
        <w:tblLook w:val="04A0" w:firstRow="1" w:lastRow="0" w:firstColumn="1" w:lastColumn="0" w:noHBand="0" w:noVBand="1"/>
      </w:tblPr>
      <w:tblGrid>
        <w:gridCol w:w="4664"/>
        <w:gridCol w:w="4686"/>
      </w:tblGrid>
      <w:tr w:rsidR="0041029E" w:rsidTr="0041029E">
        <w:tc>
          <w:tcPr>
            <w:tcW w:w="5035" w:type="dxa"/>
            <w:shd w:val="clear" w:color="auto" w:fill="D0CECE" w:themeFill="background2" w:themeFillShade="E6"/>
          </w:tcPr>
          <w:p w:rsidR="0041029E" w:rsidRDefault="0041029E" w:rsidP="0041029E">
            <w:pPr>
              <w:rPr>
                <w:b/>
                <w:sz w:val="40"/>
                <w:szCs w:val="40"/>
              </w:rPr>
            </w:pPr>
            <w:r>
              <w:rPr>
                <w:b/>
                <w:sz w:val="40"/>
                <w:szCs w:val="40"/>
              </w:rPr>
              <w:t>Title</w:t>
            </w:r>
          </w:p>
        </w:tc>
        <w:tc>
          <w:tcPr>
            <w:tcW w:w="5035" w:type="dxa"/>
            <w:shd w:val="clear" w:color="auto" w:fill="D0CECE" w:themeFill="background2" w:themeFillShade="E6"/>
          </w:tcPr>
          <w:p w:rsidR="0041029E" w:rsidRDefault="0041029E" w:rsidP="0041029E">
            <w:pPr>
              <w:rPr>
                <w:b/>
                <w:sz w:val="40"/>
                <w:szCs w:val="40"/>
              </w:rPr>
            </w:pPr>
            <w:r>
              <w:rPr>
                <w:b/>
                <w:sz w:val="40"/>
                <w:szCs w:val="40"/>
              </w:rPr>
              <w:t>Artist</w:t>
            </w:r>
          </w:p>
        </w:tc>
      </w:tr>
      <w:tr w:rsidR="0041029E" w:rsidTr="0041029E">
        <w:trPr>
          <w:trHeight w:val="720"/>
        </w:trPr>
        <w:tc>
          <w:tcPr>
            <w:tcW w:w="5035" w:type="dxa"/>
            <w:vAlign w:val="bottom"/>
          </w:tcPr>
          <w:p w:rsidR="0041029E" w:rsidRDefault="0041029E" w:rsidP="0041029E">
            <w:pPr>
              <w:rPr>
                <w:b/>
                <w:sz w:val="40"/>
                <w:szCs w:val="40"/>
              </w:rPr>
            </w:pPr>
            <w:r w:rsidRPr="00F72FCC">
              <w:rPr>
                <w:bCs/>
                <w:sz w:val="28"/>
                <w:szCs w:val="28"/>
              </w:rPr>
              <w:t xml:space="preserve">Where is the Love </w:t>
            </w:r>
            <w:r w:rsidRPr="00F72FCC">
              <w:rPr>
                <w:bCs/>
                <w:sz w:val="28"/>
                <w:szCs w:val="28"/>
              </w:rPr>
              <w:tab/>
            </w:r>
          </w:p>
        </w:tc>
        <w:tc>
          <w:tcPr>
            <w:tcW w:w="5035" w:type="dxa"/>
            <w:vAlign w:val="bottom"/>
          </w:tcPr>
          <w:p w:rsidR="0041029E" w:rsidRPr="0041029E" w:rsidRDefault="0041029E" w:rsidP="0041029E">
            <w:pPr>
              <w:rPr>
                <w:bCs/>
                <w:sz w:val="28"/>
                <w:szCs w:val="28"/>
              </w:rPr>
            </w:pPr>
            <w:r w:rsidRPr="00F72FCC">
              <w:rPr>
                <w:bCs/>
                <w:sz w:val="28"/>
                <w:szCs w:val="28"/>
              </w:rPr>
              <w:t>The Black-Eyed Peas</w:t>
            </w:r>
          </w:p>
        </w:tc>
      </w:tr>
      <w:tr w:rsidR="0041029E" w:rsidTr="0041029E">
        <w:trPr>
          <w:trHeight w:val="720"/>
        </w:trPr>
        <w:tc>
          <w:tcPr>
            <w:tcW w:w="5035" w:type="dxa"/>
            <w:vAlign w:val="bottom"/>
          </w:tcPr>
          <w:p w:rsidR="0041029E" w:rsidRDefault="0041029E" w:rsidP="0041029E">
            <w:pPr>
              <w:rPr>
                <w:b/>
                <w:sz w:val="40"/>
                <w:szCs w:val="40"/>
              </w:rPr>
            </w:pPr>
            <w:r w:rsidRPr="00F72FCC">
              <w:rPr>
                <w:bCs/>
                <w:sz w:val="28"/>
                <w:szCs w:val="28"/>
              </w:rPr>
              <w:t>All You Need Is Love</w:t>
            </w:r>
          </w:p>
        </w:tc>
        <w:tc>
          <w:tcPr>
            <w:tcW w:w="5035" w:type="dxa"/>
            <w:vAlign w:val="bottom"/>
          </w:tcPr>
          <w:p w:rsidR="0041029E" w:rsidRPr="0041029E" w:rsidRDefault="0041029E" w:rsidP="0041029E">
            <w:pPr>
              <w:rPr>
                <w:bCs/>
                <w:sz w:val="28"/>
                <w:szCs w:val="28"/>
              </w:rPr>
            </w:pPr>
            <w:r w:rsidRPr="00F72FCC">
              <w:rPr>
                <w:bCs/>
                <w:sz w:val="28"/>
                <w:szCs w:val="28"/>
              </w:rPr>
              <w:t xml:space="preserve">The Beatles </w:t>
            </w:r>
          </w:p>
        </w:tc>
      </w:tr>
      <w:tr w:rsidR="0041029E" w:rsidTr="0041029E">
        <w:trPr>
          <w:trHeight w:val="720"/>
        </w:trPr>
        <w:tc>
          <w:tcPr>
            <w:tcW w:w="5035" w:type="dxa"/>
            <w:vAlign w:val="bottom"/>
          </w:tcPr>
          <w:p w:rsidR="0041029E" w:rsidRDefault="0041029E" w:rsidP="0041029E">
            <w:pPr>
              <w:rPr>
                <w:b/>
                <w:sz w:val="40"/>
                <w:szCs w:val="40"/>
              </w:rPr>
            </w:pPr>
            <w:r w:rsidRPr="00F72FCC">
              <w:rPr>
                <w:bCs/>
                <w:sz w:val="28"/>
                <w:szCs w:val="28"/>
              </w:rPr>
              <w:t>Be Nice</w:t>
            </w:r>
          </w:p>
        </w:tc>
        <w:tc>
          <w:tcPr>
            <w:tcW w:w="5035" w:type="dxa"/>
            <w:vAlign w:val="bottom"/>
          </w:tcPr>
          <w:p w:rsidR="0041029E" w:rsidRPr="0041029E" w:rsidRDefault="0041029E" w:rsidP="0041029E">
            <w:pPr>
              <w:rPr>
                <w:bCs/>
                <w:sz w:val="28"/>
                <w:szCs w:val="28"/>
              </w:rPr>
            </w:pPr>
            <w:r w:rsidRPr="00F72FCC">
              <w:rPr>
                <w:bCs/>
                <w:sz w:val="28"/>
                <w:szCs w:val="28"/>
              </w:rPr>
              <w:t xml:space="preserve">The Black-Eyed Peas </w:t>
            </w:r>
          </w:p>
        </w:tc>
      </w:tr>
      <w:tr w:rsidR="0041029E" w:rsidTr="0041029E">
        <w:trPr>
          <w:trHeight w:val="720"/>
        </w:trPr>
        <w:tc>
          <w:tcPr>
            <w:tcW w:w="5035" w:type="dxa"/>
            <w:vAlign w:val="bottom"/>
          </w:tcPr>
          <w:p w:rsidR="0041029E" w:rsidRDefault="0041029E" w:rsidP="0041029E">
            <w:pPr>
              <w:rPr>
                <w:b/>
                <w:sz w:val="40"/>
                <w:szCs w:val="40"/>
              </w:rPr>
            </w:pPr>
            <w:r w:rsidRPr="00F72FCC">
              <w:rPr>
                <w:bCs/>
                <w:sz w:val="28"/>
                <w:szCs w:val="28"/>
              </w:rPr>
              <w:t>Jai Ho!</w:t>
            </w:r>
          </w:p>
        </w:tc>
        <w:tc>
          <w:tcPr>
            <w:tcW w:w="5035" w:type="dxa"/>
            <w:vAlign w:val="bottom"/>
          </w:tcPr>
          <w:p w:rsidR="0041029E" w:rsidRDefault="0041029E" w:rsidP="0041029E">
            <w:pPr>
              <w:rPr>
                <w:b/>
                <w:sz w:val="40"/>
                <w:szCs w:val="40"/>
              </w:rPr>
            </w:pPr>
            <w:r w:rsidRPr="00F72FCC">
              <w:rPr>
                <w:bCs/>
                <w:sz w:val="28"/>
                <w:szCs w:val="28"/>
              </w:rPr>
              <w:t>A.R. Rahman</w:t>
            </w:r>
          </w:p>
        </w:tc>
      </w:tr>
      <w:tr w:rsidR="0041029E" w:rsidTr="0041029E">
        <w:trPr>
          <w:trHeight w:val="720"/>
        </w:trPr>
        <w:tc>
          <w:tcPr>
            <w:tcW w:w="5035" w:type="dxa"/>
            <w:vAlign w:val="bottom"/>
          </w:tcPr>
          <w:p w:rsidR="0041029E" w:rsidRDefault="0041029E" w:rsidP="0041029E">
            <w:pPr>
              <w:rPr>
                <w:b/>
                <w:sz w:val="40"/>
                <w:szCs w:val="40"/>
              </w:rPr>
            </w:pPr>
            <w:r w:rsidRPr="00F72FCC">
              <w:rPr>
                <w:bCs/>
                <w:sz w:val="28"/>
                <w:szCs w:val="28"/>
              </w:rPr>
              <w:t>People are People</w:t>
            </w:r>
          </w:p>
        </w:tc>
        <w:tc>
          <w:tcPr>
            <w:tcW w:w="5035" w:type="dxa"/>
            <w:vAlign w:val="bottom"/>
          </w:tcPr>
          <w:p w:rsidR="0041029E" w:rsidRDefault="0041029E" w:rsidP="0041029E">
            <w:pPr>
              <w:rPr>
                <w:b/>
                <w:sz w:val="40"/>
                <w:szCs w:val="40"/>
              </w:rPr>
            </w:pPr>
            <w:r w:rsidRPr="00F72FCC">
              <w:rPr>
                <w:bCs/>
                <w:sz w:val="28"/>
                <w:szCs w:val="28"/>
              </w:rPr>
              <w:t>Depeche Mode</w:t>
            </w:r>
          </w:p>
        </w:tc>
      </w:tr>
      <w:tr w:rsidR="0041029E" w:rsidTr="0041029E">
        <w:trPr>
          <w:trHeight w:val="720"/>
        </w:trPr>
        <w:tc>
          <w:tcPr>
            <w:tcW w:w="5035" w:type="dxa"/>
            <w:vAlign w:val="bottom"/>
          </w:tcPr>
          <w:p w:rsidR="0041029E" w:rsidRDefault="0041029E" w:rsidP="0041029E">
            <w:pPr>
              <w:rPr>
                <w:b/>
                <w:sz w:val="40"/>
                <w:szCs w:val="40"/>
              </w:rPr>
            </w:pPr>
            <w:r w:rsidRPr="00F72FCC">
              <w:rPr>
                <w:bCs/>
                <w:sz w:val="28"/>
                <w:szCs w:val="28"/>
              </w:rPr>
              <w:t>Come Together</w:t>
            </w:r>
          </w:p>
        </w:tc>
        <w:tc>
          <w:tcPr>
            <w:tcW w:w="5035" w:type="dxa"/>
            <w:vAlign w:val="bottom"/>
          </w:tcPr>
          <w:p w:rsidR="0041029E" w:rsidRPr="0041029E" w:rsidRDefault="0041029E" w:rsidP="0041029E">
            <w:pPr>
              <w:rPr>
                <w:bCs/>
                <w:sz w:val="28"/>
                <w:szCs w:val="28"/>
              </w:rPr>
            </w:pPr>
            <w:r w:rsidRPr="00F72FCC">
              <w:rPr>
                <w:bCs/>
                <w:sz w:val="28"/>
                <w:szCs w:val="28"/>
              </w:rPr>
              <w:t>Michael Jackson</w:t>
            </w:r>
          </w:p>
        </w:tc>
      </w:tr>
      <w:tr w:rsidR="0041029E" w:rsidTr="0041029E">
        <w:trPr>
          <w:trHeight w:val="720"/>
        </w:trPr>
        <w:tc>
          <w:tcPr>
            <w:tcW w:w="5035" w:type="dxa"/>
            <w:vAlign w:val="bottom"/>
          </w:tcPr>
          <w:p w:rsidR="0041029E" w:rsidRDefault="0041029E" w:rsidP="0041029E">
            <w:pPr>
              <w:rPr>
                <w:b/>
                <w:sz w:val="40"/>
                <w:szCs w:val="40"/>
              </w:rPr>
            </w:pPr>
            <w:r w:rsidRPr="00F72FCC">
              <w:rPr>
                <w:bCs/>
                <w:sz w:val="28"/>
                <w:szCs w:val="28"/>
              </w:rPr>
              <w:t>Heal the World</w:t>
            </w:r>
            <w:r w:rsidRPr="00F72FCC">
              <w:rPr>
                <w:bCs/>
                <w:sz w:val="28"/>
                <w:szCs w:val="28"/>
              </w:rPr>
              <w:tab/>
            </w:r>
          </w:p>
        </w:tc>
        <w:tc>
          <w:tcPr>
            <w:tcW w:w="5035" w:type="dxa"/>
            <w:vAlign w:val="bottom"/>
          </w:tcPr>
          <w:p w:rsidR="0041029E" w:rsidRDefault="0041029E" w:rsidP="0041029E">
            <w:pPr>
              <w:rPr>
                <w:b/>
                <w:sz w:val="40"/>
                <w:szCs w:val="40"/>
              </w:rPr>
            </w:pPr>
            <w:r w:rsidRPr="00F72FCC">
              <w:rPr>
                <w:bCs/>
                <w:sz w:val="28"/>
                <w:szCs w:val="28"/>
              </w:rPr>
              <w:t>Michael Jackson</w:t>
            </w:r>
          </w:p>
        </w:tc>
      </w:tr>
      <w:tr w:rsidR="0041029E" w:rsidTr="0041029E">
        <w:trPr>
          <w:trHeight w:val="720"/>
        </w:trPr>
        <w:tc>
          <w:tcPr>
            <w:tcW w:w="5035" w:type="dxa"/>
            <w:vAlign w:val="bottom"/>
          </w:tcPr>
          <w:p w:rsidR="0041029E" w:rsidRDefault="0041029E" w:rsidP="0041029E">
            <w:pPr>
              <w:rPr>
                <w:b/>
                <w:sz w:val="40"/>
                <w:szCs w:val="40"/>
              </w:rPr>
            </w:pPr>
            <w:r w:rsidRPr="00F72FCC">
              <w:rPr>
                <w:bCs/>
                <w:sz w:val="28"/>
                <w:szCs w:val="28"/>
              </w:rPr>
              <w:t xml:space="preserve">Black or White </w:t>
            </w:r>
            <w:r w:rsidRPr="00F72FCC">
              <w:rPr>
                <w:bCs/>
                <w:sz w:val="28"/>
                <w:szCs w:val="28"/>
              </w:rPr>
              <w:tab/>
            </w:r>
          </w:p>
        </w:tc>
        <w:tc>
          <w:tcPr>
            <w:tcW w:w="5035" w:type="dxa"/>
            <w:vAlign w:val="bottom"/>
          </w:tcPr>
          <w:p w:rsidR="0041029E" w:rsidRPr="0041029E" w:rsidRDefault="0041029E" w:rsidP="0041029E">
            <w:pPr>
              <w:rPr>
                <w:bCs/>
                <w:sz w:val="28"/>
                <w:szCs w:val="28"/>
              </w:rPr>
            </w:pPr>
            <w:r w:rsidRPr="00F72FCC">
              <w:rPr>
                <w:bCs/>
                <w:sz w:val="28"/>
                <w:szCs w:val="28"/>
              </w:rPr>
              <w:t>Michael Jackson</w:t>
            </w:r>
          </w:p>
        </w:tc>
      </w:tr>
      <w:tr w:rsidR="0041029E" w:rsidTr="0041029E">
        <w:trPr>
          <w:trHeight w:val="720"/>
        </w:trPr>
        <w:tc>
          <w:tcPr>
            <w:tcW w:w="5035" w:type="dxa"/>
            <w:vAlign w:val="bottom"/>
          </w:tcPr>
          <w:p w:rsidR="0041029E" w:rsidRDefault="0041029E" w:rsidP="0041029E">
            <w:pPr>
              <w:rPr>
                <w:b/>
                <w:sz w:val="40"/>
                <w:szCs w:val="40"/>
              </w:rPr>
            </w:pPr>
            <w:proofErr w:type="gramStart"/>
            <w:r w:rsidRPr="00F72FCC">
              <w:rPr>
                <w:bCs/>
                <w:sz w:val="28"/>
                <w:szCs w:val="28"/>
              </w:rPr>
              <w:t>Man</w:t>
            </w:r>
            <w:proofErr w:type="gramEnd"/>
            <w:r w:rsidRPr="00F72FCC">
              <w:rPr>
                <w:bCs/>
                <w:sz w:val="28"/>
                <w:szCs w:val="28"/>
              </w:rPr>
              <w:t xml:space="preserve"> in the Mirror</w:t>
            </w:r>
          </w:p>
        </w:tc>
        <w:tc>
          <w:tcPr>
            <w:tcW w:w="5035" w:type="dxa"/>
            <w:vAlign w:val="bottom"/>
          </w:tcPr>
          <w:p w:rsidR="0041029E" w:rsidRPr="0041029E" w:rsidRDefault="0041029E" w:rsidP="0041029E">
            <w:pPr>
              <w:rPr>
                <w:bCs/>
                <w:sz w:val="28"/>
                <w:szCs w:val="28"/>
              </w:rPr>
            </w:pPr>
            <w:r w:rsidRPr="00F72FCC">
              <w:rPr>
                <w:bCs/>
                <w:sz w:val="28"/>
                <w:szCs w:val="28"/>
              </w:rPr>
              <w:t>Michael Jackson</w:t>
            </w:r>
          </w:p>
        </w:tc>
      </w:tr>
      <w:tr w:rsidR="0041029E" w:rsidTr="0041029E">
        <w:trPr>
          <w:trHeight w:val="720"/>
        </w:trPr>
        <w:tc>
          <w:tcPr>
            <w:tcW w:w="5035" w:type="dxa"/>
            <w:vAlign w:val="bottom"/>
          </w:tcPr>
          <w:p w:rsidR="0041029E" w:rsidRDefault="0041029E" w:rsidP="0041029E">
            <w:pPr>
              <w:rPr>
                <w:b/>
                <w:sz w:val="40"/>
                <w:szCs w:val="40"/>
              </w:rPr>
            </w:pPr>
            <w:r w:rsidRPr="00F72FCC">
              <w:rPr>
                <w:bCs/>
                <w:sz w:val="28"/>
                <w:szCs w:val="28"/>
              </w:rPr>
              <w:t>Wakanda Origins</w:t>
            </w:r>
          </w:p>
        </w:tc>
        <w:tc>
          <w:tcPr>
            <w:tcW w:w="5035" w:type="dxa"/>
            <w:vAlign w:val="bottom"/>
          </w:tcPr>
          <w:p w:rsidR="0041029E" w:rsidRDefault="0041029E" w:rsidP="0041029E">
            <w:pPr>
              <w:rPr>
                <w:b/>
                <w:sz w:val="40"/>
                <w:szCs w:val="40"/>
              </w:rPr>
            </w:pPr>
            <w:r w:rsidRPr="00F72FCC">
              <w:rPr>
                <w:bCs/>
                <w:sz w:val="28"/>
                <w:szCs w:val="28"/>
              </w:rPr>
              <w:t>Black Panther Soundtrack</w:t>
            </w:r>
          </w:p>
        </w:tc>
      </w:tr>
      <w:tr w:rsidR="0041029E" w:rsidTr="0041029E">
        <w:trPr>
          <w:trHeight w:val="720"/>
        </w:trPr>
        <w:tc>
          <w:tcPr>
            <w:tcW w:w="5035" w:type="dxa"/>
            <w:vAlign w:val="bottom"/>
          </w:tcPr>
          <w:p w:rsidR="0041029E" w:rsidRPr="00F72FCC" w:rsidRDefault="0041029E" w:rsidP="0041029E">
            <w:pPr>
              <w:rPr>
                <w:bCs/>
                <w:sz w:val="28"/>
                <w:szCs w:val="28"/>
              </w:rPr>
            </w:pPr>
            <w:r w:rsidRPr="00F72FCC">
              <w:rPr>
                <w:bCs/>
                <w:sz w:val="28"/>
                <w:szCs w:val="28"/>
              </w:rPr>
              <w:t>Respect</w:t>
            </w:r>
          </w:p>
        </w:tc>
        <w:tc>
          <w:tcPr>
            <w:tcW w:w="5035" w:type="dxa"/>
            <w:vAlign w:val="bottom"/>
          </w:tcPr>
          <w:p w:rsidR="0041029E" w:rsidRPr="00F72FCC" w:rsidRDefault="0041029E" w:rsidP="0041029E">
            <w:pPr>
              <w:rPr>
                <w:bCs/>
                <w:sz w:val="28"/>
                <w:szCs w:val="28"/>
              </w:rPr>
            </w:pPr>
            <w:r w:rsidRPr="00F72FCC">
              <w:rPr>
                <w:bCs/>
                <w:sz w:val="28"/>
                <w:szCs w:val="28"/>
              </w:rPr>
              <w:t>Aretha Franklin</w:t>
            </w:r>
          </w:p>
        </w:tc>
      </w:tr>
    </w:tbl>
    <w:p w:rsidR="00637F20" w:rsidRDefault="00637F20" w:rsidP="00CD4517">
      <w:pPr>
        <w:rPr>
          <w:sz w:val="40"/>
          <w:szCs w:val="40"/>
        </w:rPr>
      </w:pPr>
    </w:p>
    <w:p w:rsidR="00E6475C" w:rsidRDefault="00E6475C" w:rsidP="00CD4517">
      <w:pPr>
        <w:rPr>
          <w:sz w:val="40"/>
          <w:szCs w:val="40"/>
        </w:rPr>
      </w:pPr>
    </w:p>
    <w:p w:rsidR="0060314F" w:rsidRDefault="0060314F" w:rsidP="00CD4517">
      <w:pPr>
        <w:rPr>
          <w:sz w:val="40"/>
          <w:szCs w:val="40"/>
        </w:rPr>
      </w:pPr>
    </w:p>
    <w:p w:rsidR="0060314F" w:rsidRDefault="0060314F" w:rsidP="00CD4517">
      <w:pPr>
        <w:rPr>
          <w:sz w:val="40"/>
          <w:szCs w:val="40"/>
        </w:rPr>
      </w:pPr>
    </w:p>
    <w:p w:rsidR="00C42C09" w:rsidRPr="00AD1A9D" w:rsidRDefault="0060314F" w:rsidP="00C42C09">
      <w:pPr>
        <w:widowControl w:val="0"/>
        <w:autoSpaceDE w:val="0"/>
        <w:autoSpaceDN w:val="0"/>
        <w:jc w:val="both"/>
        <w:outlineLvl w:val="1"/>
        <w:rPr>
          <w:rFonts w:eastAsia="Times New Roman" w:cstheme="minorHAnsi"/>
          <w:b/>
          <w:bCs/>
          <w:sz w:val="32"/>
          <w:szCs w:val="32"/>
          <w:lang w:bidi="en-US"/>
        </w:rPr>
      </w:pPr>
      <w:r>
        <w:rPr>
          <w:sz w:val="40"/>
          <w:szCs w:val="40"/>
        </w:rPr>
        <w:br w:type="page"/>
      </w:r>
      <w:r w:rsidR="00C42C09" w:rsidRPr="00AD1A9D">
        <w:rPr>
          <w:rFonts w:eastAsia="Times New Roman" w:cstheme="minorHAnsi"/>
          <w:b/>
          <w:bCs/>
          <w:sz w:val="32"/>
          <w:szCs w:val="32"/>
          <w:lang w:bidi="en-US"/>
        </w:rPr>
        <w:lastRenderedPageBreak/>
        <w:t>Instructor Qualifications and Background</w:t>
      </w:r>
    </w:p>
    <w:p w:rsidR="00C42C09" w:rsidRPr="00AD1A9D" w:rsidRDefault="00C42C09" w:rsidP="00C42C09">
      <w:pPr>
        <w:autoSpaceDE w:val="0"/>
        <w:autoSpaceDN w:val="0"/>
        <w:adjustRightInd w:val="0"/>
        <w:rPr>
          <w:rFonts w:cstheme="minorHAnsi"/>
          <w:color w:val="B92330"/>
          <w:sz w:val="28"/>
          <w:szCs w:val="28"/>
        </w:rPr>
      </w:pPr>
      <w:r w:rsidRPr="00AD1A9D">
        <w:rPr>
          <w:rFonts w:cstheme="minorHAnsi"/>
          <w:color w:val="B92330"/>
          <w:sz w:val="28"/>
          <w:szCs w:val="28"/>
        </w:rPr>
        <w:t xml:space="preserve">CHERYL KNOWLTON, </w:t>
      </w:r>
      <w:r w:rsidRPr="00AD1A9D">
        <w:rPr>
          <w:rFonts w:cstheme="minorHAnsi"/>
          <w:color w:val="B92330"/>
        </w:rPr>
        <w:t>DREI ABR, AHWD, BROR, CRB, e-PRO®, GREEN, GRI, MRP, PMN, PSA, RENE, RSPS, SFR, SRES, SRS</w:t>
      </w:r>
    </w:p>
    <w:p w:rsidR="00C42C09" w:rsidRPr="00AD1A9D" w:rsidRDefault="00C42C09" w:rsidP="00C42C09">
      <w:pPr>
        <w:autoSpaceDE w:val="0"/>
        <w:autoSpaceDN w:val="0"/>
        <w:adjustRightInd w:val="0"/>
        <w:jc w:val="both"/>
        <w:rPr>
          <w:rFonts w:cstheme="minorHAnsi"/>
          <w:color w:val="000000"/>
          <w:sz w:val="22"/>
          <w:szCs w:val="22"/>
        </w:rPr>
      </w:pPr>
    </w:p>
    <w:p w:rsidR="00C42C09" w:rsidRPr="00D60C9D" w:rsidRDefault="00C42C09" w:rsidP="00C42C09">
      <w:pPr>
        <w:autoSpaceDE w:val="0"/>
        <w:autoSpaceDN w:val="0"/>
        <w:adjustRightInd w:val="0"/>
        <w:jc w:val="both"/>
        <w:rPr>
          <w:rFonts w:cstheme="minorHAnsi"/>
          <w:color w:val="000000"/>
        </w:rPr>
      </w:pPr>
      <w:r w:rsidRPr="00D60C9D">
        <w:rPr>
          <w:rFonts w:cstheme="minorHAnsi"/>
          <w:color w:val="000000"/>
        </w:rPr>
        <w:t>Record breaking recruiter, licensed broker, real estate sales and mortgage expert, Cheryl Knowlton specializes in enthusiastically empowering real estate excellence by consistently delivering highly engaging and relevant content. As the President of Elite Edge, a global real estate training company, Cheryl’s programming ensures that real estate licensees, designated brokers and mortgage professionals leave with the tools they need to be successful in their careers. Enthusiastically dedicated to personal development, she carries this “can do” vibe into the classroom and all of her online video content. She also loves teaching NAR designation courses nationally, incorporating fun into the programming to ensure students participate in learning through a variety of modalities. Cheryl is a proud member of the National Speakers Association (NSA) and the Real Estate Educators Association (REEA) where she earned her Distinguished Real Estate Instructor (DREI) designation in 2014. Dedicated to keeping in touch with the pulse of real estate, she’s actively involved in the Women’s Council of REALTORS® locally and regionally.</w:t>
      </w:r>
    </w:p>
    <w:p w:rsidR="00C42C09" w:rsidRDefault="00C42C09" w:rsidP="00502515">
      <w:pPr>
        <w:spacing w:line="259" w:lineRule="auto"/>
        <w:rPr>
          <w:rFonts w:ascii="Calibri" w:eastAsia="Times New Roman" w:hAnsi="Calibri" w:cs="Calibri"/>
          <w:b/>
          <w:bCs/>
          <w:sz w:val="32"/>
          <w:szCs w:val="32"/>
          <w:lang w:bidi="en-US"/>
        </w:rPr>
      </w:pPr>
    </w:p>
    <w:p w:rsidR="00502515" w:rsidRDefault="0060314F" w:rsidP="00502515">
      <w:pPr>
        <w:spacing w:line="259" w:lineRule="auto"/>
        <w:rPr>
          <w:rFonts w:ascii="Calibri" w:hAnsi="Calibri" w:cs="Calibri"/>
        </w:rPr>
      </w:pPr>
      <w:r w:rsidRPr="00502515">
        <w:rPr>
          <w:rFonts w:ascii="Calibri" w:eastAsia="Times New Roman" w:hAnsi="Calibri" w:cs="Calibri"/>
          <w:b/>
          <w:bCs/>
          <w:sz w:val="32"/>
          <w:szCs w:val="32"/>
          <w:lang w:bidi="en-US"/>
        </w:rPr>
        <w:t>Course Material</w:t>
      </w:r>
      <w:r w:rsidR="00502515">
        <w:rPr>
          <w:rFonts w:ascii="Calibri" w:eastAsia="Times New Roman" w:hAnsi="Calibri" w:cs="Calibri"/>
          <w:b/>
          <w:bCs/>
          <w:sz w:val="32"/>
          <w:szCs w:val="32"/>
          <w:lang w:bidi="en-US"/>
        </w:rPr>
        <w:br/>
      </w:r>
      <w:r w:rsidRPr="00502515">
        <w:rPr>
          <w:rFonts w:ascii="Calibri" w:hAnsi="Calibri" w:cs="Calibri"/>
        </w:rPr>
        <w:t xml:space="preserve">All materials needed for this course are included in this manual. The materials include: </w:t>
      </w:r>
    </w:p>
    <w:p w:rsidR="0060314F" w:rsidRPr="00502515" w:rsidRDefault="0060314F" w:rsidP="00502515">
      <w:pPr>
        <w:pStyle w:val="ListParagraph"/>
        <w:widowControl w:val="0"/>
        <w:numPr>
          <w:ilvl w:val="0"/>
          <w:numId w:val="41"/>
        </w:numPr>
        <w:tabs>
          <w:tab w:val="left" w:pos="1301"/>
        </w:tabs>
        <w:autoSpaceDE w:val="0"/>
        <w:autoSpaceDN w:val="0"/>
        <w:contextualSpacing w:val="0"/>
        <w:jc w:val="both"/>
        <w:rPr>
          <w:rFonts w:ascii="Calibri" w:hAnsi="Calibri" w:cs="Calibri"/>
          <w:sz w:val="22"/>
          <w:szCs w:val="22"/>
        </w:rPr>
      </w:pPr>
      <w:r w:rsidRPr="00502515">
        <w:rPr>
          <w:rFonts w:ascii="Calibri" w:hAnsi="Calibri" w:cs="Calibri"/>
          <w:sz w:val="22"/>
          <w:szCs w:val="22"/>
        </w:rPr>
        <w:t>Timed Course Outline</w:t>
      </w:r>
    </w:p>
    <w:p w:rsidR="0060314F" w:rsidRPr="00502515" w:rsidRDefault="0060314F" w:rsidP="00502515">
      <w:pPr>
        <w:pStyle w:val="ListParagraph"/>
        <w:widowControl w:val="0"/>
        <w:numPr>
          <w:ilvl w:val="0"/>
          <w:numId w:val="41"/>
        </w:numPr>
        <w:tabs>
          <w:tab w:val="left" w:pos="1301"/>
        </w:tabs>
        <w:autoSpaceDE w:val="0"/>
        <w:autoSpaceDN w:val="0"/>
        <w:contextualSpacing w:val="0"/>
        <w:jc w:val="both"/>
        <w:rPr>
          <w:rFonts w:ascii="Calibri" w:hAnsi="Calibri" w:cs="Calibri"/>
          <w:sz w:val="22"/>
          <w:szCs w:val="22"/>
        </w:rPr>
      </w:pPr>
      <w:r w:rsidRPr="00502515">
        <w:rPr>
          <w:rFonts w:ascii="Calibri" w:hAnsi="Calibri" w:cs="Calibri"/>
          <w:sz w:val="22"/>
          <w:szCs w:val="22"/>
        </w:rPr>
        <w:t>Learning Objectives</w:t>
      </w:r>
    </w:p>
    <w:p w:rsidR="0060314F" w:rsidRPr="00502515" w:rsidRDefault="0060314F" w:rsidP="00502515">
      <w:pPr>
        <w:pStyle w:val="ListParagraph"/>
        <w:widowControl w:val="0"/>
        <w:numPr>
          <w:ilvl w:val="0"/>
          <w:numId w:val="41"/>
        </w:numPr>
        <w:tabs>
          <w:tab w:val="left" w:pos="1301"/>
        </w:tabs>
        <w:autoSpaceDE w:val="0"/>
        <w:autoSpaceDN w:val="0"/>
        <w:spacing w:before="1"/>
        <w:contextualSpacing w:val="0"/>
        <w:jc w:val="both"/>
        <w:rPr>
          <w:rFonts w:ascii="Calibri" w:hAnsi="Calibri" w:cs="Calibri"/>
          <w:sz w:val="22"/>
          <w:szCs w:val="22"/>
        </w:rPr>
      </w:pPr>
      <w:r w:rsidRPr="00502515">
        <w:rPr>
          <w:rFonts w:ascii="Calibri" w:hAnsi="Calibri" w:cs="Calibri"/>
          <w:sz w:val="22"/>
          <w:szCs w:val="22"/>
        </w:rPr>
        <w:t>Course Content Material (Instructor and Student</w:t>
      </w:r>
      <w:r w:rsidRPr="00502515">
        <w:rPr>
          <w:rFonts w:ascii="Calibri" w:hAnsi="Calibri" w:cs="Calibri"/>
          <w:spacing w:val="-1"/>
          <w:sz w:val="22"/>
          <w:szCs w:val="22"/>
        </w:rPr>
        <w:t xml:space="preserve"> </w:t>
      </w:r>
      <w:r w:rsidRPr="00502515">
        <w:rPr>
          <w:rFonts w:ascii="Calibri" w:hAnsi="Calibri" w:cs="Calibri"/>
          <w:sz w:val="22"/>
          <w:szCs w:val="22"/>
        </w:rPr>
        <w:t>Manuals)</w:t>
      </w:r>
    </w:p>
    <w:p w:rsidR="0060314F" w:rsidRPr="00502515" w:rsidRDefault="0060314F" w:rsidP="00502515">
      <w:pPr>
        <w:pStyle w:val="ListParagraph"/>
        <w:widowControl w:val="0"/>
        <w:numPr>
          <w:ilvl w:val="0"/>
          <w:numId w:val="41"/>
        </w:numPr>
        <w:tabs>
          <w:tab w:val="left" w:pos="1301"/>
        </w:tabs>
        <w:autoSpaceDE w:val="0"/>
        <w:autoSpaceDN w:val="0"/>
        <w:spacing w:before="1" w:line="290" w:lineRule="exact"/>
        <w:contextualSpacing w:val="0"/>
        <w:jc w:val="both"/>
        <w:rPr>
          <w:rFonts w:ascii="Calibri" w:hAnsi="Calibri" w:cs="Calibri"/>
          <w:sz w:val="22"/>
          <w:szCs w:val="22"/>
        </w:rPr>
      </w:pPr>
      <w:r w:rsidRPr="00502515">
        <w:rPr>
          <w:rFonts w:ascii="Calibri" w:hAnsi="Calibri" w:cs="Calibri"/>
          <w:sz w:val="22"/>
          <w:szCs w:val="22"/>
        </w:rPr>
        <w:t>PowerPoint Presentation</w:t>
      </w:r>
    </w:p>
    <w:p w:rsidR="0060314F" w:rsidRPr="00502515" w:rsidRDefault="0060314F" w:rsidP="00502515">
      <w:pPr>
        <w:pStyle w:val="ListParagraph"/>
        <w:widowControl w:val="0"/>
        <w:numPr>
          <w:ilvl w:val="0"/>
          <w:numId w:val="41"/>
        </w:numPr>
        <w:tabs>
          <w:tab w:val="left" w:pos="1301"/>
        </w:tabs>
        <w:autoSpaceDE w:val="0"/>
        <w:autoSpaceDN w:val="0"/>
        <w:spacing w:line="316" w:lineRule="exact"/>
        <w:contextualSpacing w:val="0"/>
        <w:jc w:val="both"/>
        <w:rPr>
          <w:rFonts w:ascii="Calibri" w:hAnsi="Calibri" w:cs="Calibri"/>
          <w:sz w:val="22"/>
          <w:szCs w:val="22"/>
        </w:rPr>
      </w:pPr>
      <w:r w:rsidRPr="00502515">
        <w:rPr>
          <w:rFonts w:ascii="Calibri" w:hAnsi="Calibri" w:cs="Calibri"/>
          <w:sz w:val="22"/>
          <w:szCs w:val="22"/>
        </w:rPr>
        <w:t xml:space="preserve">Digital versions of all course materials can be found on the LREC website under Current Licensees </w:t>
      </w:r>
      <w:r w:rsidRPr="00502515">
        <w:rPr>
          <w:rFonts w:ascii="Calibri" w:hAnsi="Calibri" w:cs="Calibri"/>
          <w:sz w:val="22"/>
          <w:szCs w:val="22"/>
        </w:rPr>
        <w:sym w:font="Wingdings" w:char="F0E0"/>
      </w:r>
      <w:r w:rsidRPr="00502515">
        <w:rPr>
          <w:rFonts w:ascii="Calibri" w:hAnsi="Calibri" w:cs="Calibri"/>
          <w:sz w:val="22"/>
          <w:szCs w:val="22"/>
        </w:rPr>
        <w:t xml:space="preserve"> Vendor </w:t>
      </w:r>
      <w:r w:rsidRPr="00502515">
        <w:rPr>
          <w:rFonts w:ascii="Calibri" w:hAnsi="Calibri" w:cs="Calibri"/>
          <w:sz w:val="22"/>
          <w:szCs w:val="22"/>
        </w:rPr>
        <w:sym w:font="Wingdings" w:char="F0E0"/>
      </w:r>
      <w:r w:rsidRPr="00502515">
        <w:rPr>
          <w:rFonts w:ascii="Calibri" w:hAnsi="Calibri" w:cs="Calibri"/>
          <w:sz w:val="22"/>
          <w:szCs w:val="22"/>
        </w:rPr>
        <w:t xml:space="preserve"> Mandatory Course Materials or by visiting this link:</w:t>
      </w:r>
    </w:p>
    <w:p w:rsidR="0060314F" w:rsidRPr="00502515" w:rsidRDefault="00A82B37" w:rsidP="00502515">
      <w:pPr>
        <w:spacing w:line="316" w:lineRule="exact"/>
        <w:ind w:left="1300"/>
        <w:rPr>
          <w:sz w:val="22"/>
          <w:szCs w:val="22"/>
        </w:rPr>
      </w:pPr>
      <w:hyperlink r:id="rId9" w:history="1">
        <w:r w:rsidR="00502515" w:rsidRPr="00502515">
          <w:rPr>
            <w:rStyle w:val="Hyperlink"/>
            <w:sz w:val="22"/>
            <w:szCs w:val="22"/>
          </w:rPr>
          <w:t>https://lrec.gov/current-licensees/vendor/mandatory-course-materials/</w:t>
        </w:r>
      </w:hyperlink>
    </w:p>
    <w:p w:rsidR="00502515" w:rsidRPr="00502515" w:rsidRDefault="00502515" w:rsidP="00502515">
      <w:pPr>
        <w:spacing w:line="316" w:lineRule="exact"/>
        <w:ind w:left="1300"/>
        <w:rPr>
          <w:rFonts w:ascii="Calibri" w:hAnsi="Calibri" w:cs="Calibri"/>
          <w:color w:val="0000FF"/>
          <w:sz w:val="16"/>
          <w:szCs w:val="16"/>
        </w:rPr>
      </w:pPr>
    </w:p>
    <w:p w:rsidR="0060314F" w:rsidRPr="00502515" w:rsidRDefault="0060314F" w:rsidP="00502515">
      <w:pPr>
        <w:widowControl w:val="0"/>
        <w:autoSpaceDE w:val="0"/>
        <w:autoSpaceDN w:val="0"/>
        <w:jc w:val="both"/>
        <w:outlineLvl w:val="1"/>
        <w:rPr>
          <w:rFonts w:ascii="Calibri" w:eastAsia="Times New Roman" w:hAnsi="Calibri" w:cs="Calibri"/>
          <w:b/>
          <w:bCs/>
          <w:sz w:val="32"/>
          <w:szCs w:val="32"/>
          <w:lang w:bidi="en-US"/>
        </w:rPr>
      </w:pPr>
      <w:bookmarkStart w:id="8" w:name="_Hlk20739173"/>
      <w:r w:rsidRPr="00502515">
        <w:rPr>
          <w:rFonts w:ascii="Calibri" w:eastAsia="Times New Roman" w:hAnsi="Calibri" w:cs="Calibri"/>
          <w:b/>
          <w:bCs/>
          <w:sz w:val="32"/>
          <w:szCs w:val="32"/>
          <w:lang w:bidi="en-US"/>
        </w:rPr>
        <w:t>Course Completion Requirements</w:t>
      </w:r>
    </w:p>
    <w:p w:rsidR="0060314F" w:rsidRPr="00502515" w:rsidRDefault="0060314F" w:rsidP="008519B8">
      <w:pPr>
        <w:jc w:val="both"/>
        <w:rPr>
          <w:rFonts w:ascii="Calibri" w:hAnsi="Calibri" w:cs="Calibri"/>
        </w:rPr>
      </w:pPr>
      <w:r w:rsidRPr="00502515">
        <w:rPr>
          <w:rFonts w:ascii="Calibri" w:eastAsia="Kalinga" w:hAnsi="Calibri" w:cs="Calibri"/>
          <w:sz w:val="22"/>
          <w:szCs w:val="22"/>
          <w:lang w:bidi="en-US"/>
        </w:rPr>
        <w:t>Students must be present for the full four (4) hours if a live presentation. Students taking Internet based presentations must complete all quizzes and exams with a score of at least 70%. An identity affidavit attesting to the fact that the student has personally completed the course without assistance must be submitted before a certificate of completion is granted.</w:t>
      </w:r>
    </w:p>
    <w:p w:rsidR="0060314F" w:rsidRPr="00502515" w:rsidRDefault="0060314F" w:rsidP="00502515">
      <w:pPr>
        <w:widowControl w:val="0"/>
        <w:autoSpaceDE w:val="0"/>
        <w:autoSpaceDN w:val="0"/>
        <w:spacing w:before="117"/>
        <w:outlineLvl w:val="1"/>
        <w:rPr>
          <w:rFonts w:ascii="Calibri" w:eastAsia="Times New Roman" w:hAnsi="Calibri" w:cs="Calibri"/>
          <w:b/>
          <w:bCs/>
          <w:sz w:val="32"/>
          <w:szCs w:val="32"/>
          <w:lang w:bidi="en-US"/>
        </w:rPr>
      </w:pPr>
      <w:r w:rsidRPr="00502515">
        <w:rPr>
          <w:rFonts w:ascii="Calibri" w:eastAsia="Times New Roman" w:hAnsi="Calibri" w:cs="Calibri"/>
          <w:b/>
          <w:bCs/>
          <w:sz w:val="32"/>
          <w:szCs w:val="32"/>
          <w:lang w:bidi="en-US"/>
        </w:rPr>
        <w:t>Vendor Policies and Regulations:</w:t>
      </w:r>
    </w:p>
    <w:p w:rsidR="0060314F" w:rsidRPr="00502515" w:rsidRDefault="0060314F" w:rsidP="00502515">
      <w:pPr>
        <w:widowControl w:val="0"/>
        <w:autoSpaceDE w:val="0"/>
        <w:autoSpaceDN w:val="0"/>
        <w:spacing w:before="121"/>
        <w:rPr>
          <w:rFonts w:ascii="Calibri" w:eastAsia="Kalinga" w:hAnsi="Calibri" w:cs="Calibri"/>
          <w:sz w:val="22"/>
          <w:szCs w:val="22"/>
          <w:lang w:bidi="en-US"/>
        </w:rPr>
      </w:pPr>
      <w:r w:rsidRPr="00502515">
        <w:rPr>
          <w:rFonts w:ascii="Calibri" w:eastAsia="Kalinga" w:hAnsi="Calibri" w:cs="Calibri"/>
          <w:b/>
          <w:sz w:val="22"/>
          <w:szCs w:val="22"/>
          <w:lang w:bidi="en-US"/>
        </w:rPr>
        <w:t xml:space="preserve">Prerequisites: </w:t>
      </w:r>
      <w:r w:rsidRPr="00502515">
        <w:rPr>
          <w:rFonts w:ascii="Calibri" w:eastAsia="Kalinga" w:hAnsi="Calibri" w:cs="Calibri"/>
          <w:sz w:val="22"/>
          <w:szCs w:val="22"/>
          <w:lang w:bidi="en-US"/>
        </w:rPr>
        <w:t xml:space="preserve">There are no educational prerequisites for this course. </w:t>
      </w:r>
    </w:p>
    <w:p w:rsidR="0060314F" w:rsidRPr="00502515" w:rsidRDefault="0060314F" w:rsidP="00502515">
      <w:pPr>
        <w:widowControl w:val="0"/>
        <w:autoSpaceDE w:val="0"/>
        <w:autoSpaceDN w:val="0"/>
        <w:spacing w:before="122"/>
        <w:jc w:val="both"/>
        <w:rPr>
          <w:rFonts w:ascii="Calibri" w:eastAsia="Kalinga" w:hAnsi="Calibri" w:cs="Calibri"/>
          <w:sz w:val="22"/>
          <w:szCs w:val="22"/>
          <w:lang w:bidi="en-US"/>
        </w:rPr>
      </w:pPr>
      <w:r w:rsidRPr="00502515">
        <w:rPr>
          <w:rFonts w:ascii="Calibri" w:eastAsia="Kalinga" w:hAnsi="Calibri" w:cs="Calibri"/>
          <w:b/>
          <w:sz w:val="22"/>
          <w:szCs w:val="22"/>
          <w:lang w:bidi="en-US"/>
        </w:rPr>
        <w:t xml:space="preserve">Registration: </w:t>
      </w:r>
      <w:r w:rsidRPr="00502515">
        <w:rPr>
          <w:rFonts w:ascii="Calibri" w:eastAsia="Kalinga" w:hAnsi="Calibri" w:cs="Calibri"/>
          <w:sz w:val="22"/>
          <w:szCs w:val="22"/>
          <w:lang w:bidi="en-US"/>
        </w:rPr>
        <w:t xml:space="preserve">Any attempt to take this course under an assumed identity will forfeit your right to receive a certificate of completion and may result in sanctions by the Louisiana Real Estate Commission. </w:t>
      </w:r>
    </w:p>
    <w:p w:rsidR="00502515" w:rsidRPr="00502515" w:rsidRDefault="0060314F" w:rsidP="00502515">
      <w:pPr>
        <w:widowControl w:val="0"/>
        <w:autoSpaceDE w:val="0"/>
        <w:autoSpaceDN w:val="0"/>
        <w:spacing w:before="119"/>
        <w:jc w:val="both"/>
        <w:rPr>
          <w:rFonts w:ascii="Calibri" w:eastAsia="Kalinga" w:hAnsi="Calibri" w:cs="Calibri"/>
          <w:sz w:val="22"/>
          <w:szCs w:val="22"/>
          <w:lang w:bidi="en-US"/>
        </w:rPr>
      </w:pPr>
      <w:r w:rsidRPr="00502515">
        <w:rPr>
          <w:rFonts w:ascii="Calibri" w:eastAsia="Kalinga" w:hAnsi="Calibri" w:cs="Calibri"/>
          <w:b/>
          <w:sz w:val="22"/>
          <w:szCs w:val="22"/>
          <w:lang w:bidi="en-US"/>
        </w:rPr>
        <w:t xml:space="preserve">Attendance: </w:t>
      </w:r>
      <w:r w:rsidRPr="00502515">
        <w:rPr>
          <w:rFonts w:ascii="Calibri" w:eastAsia="Kalinga" w:hAnsi="Calibri" w:cs="Calibri"/>
          <w:sz w:val="22"/>
          <w:szCs w:val="22"/>
          <w:lang w:bidi="en-US"/>
        </w:rPr>
        <w:t>Students attending a live presentation must sign in before the course and sign out after the course; this course is a four (4) hour presentation, and 100% attendance is required to receive credit for completion. Credit shall not be granted for partial attendance. No exceptions</w:t>
      </w:r>
      <w:r w:rsidR="00502515" w:rsidRPr="00502515">
        <w:rPr>
          <w:rFonts w:ascii="Calibri" w:eastAsia="Kalinga" w:hAnsi="Calibri" w:cs="Calibri"/>
          <w:sz w:val="22"/>
          <w:szCs w:val="22"/>
          <w:lang w:bidi="en-US"/>
        </w:rPr>
        <w:t>!</w:t>
      </w:r>
    </w:p>
    <w:p w:rsidR="00502515" w:rsidRPr="00502515" w:rsidRDefault="0060314F" w:rsidP="00502515">
      <w:pPr>
        <w:widowControl w:val="0"/>
        <w:autoSpaceDE w:val="0"/>
        <w:autoSpaceDN w:val="0"/>
        <w:spacing w:before="119"/>
        <w:jc w:val="both"/>
        <w:rPr>
          <w:rFonts w:ascii="Calibri" w:eastAsia="Kalinga" w:hAnsi="Calibri" w:cs="Calibri"/>
          <w:sz w:val="22"/>
          <w:szCs w:val="22"/>
          <w:lang w:bidi="en-US"/>
        </w:rPr>
      </w:pPr>
      <w:r w:rsidRPr="00502515">
        <w:rPr>
          <w:rFonts w:ascii="Calibri" w:eastAsia="Kalinga" w:hAnsi="Calibri" w:cs="Calibri"/>
          <w:b/>
          <w:sz w:val="22"/>
          <w:szCs w:val="22"/>
          <w:lang w:bidi="en-US"/>
        </w:rPr>
        <w:t xml:space="preserve">Tardiness/Absences: </w:t>
      </w:r>
      <w:r w:rsidRPr="00502515">
        <w:rPr>
          <w:rFonts w:ascii="Calibri" w:eastAsia="Kalinga" w:hAnsi="Calibri" w:cs="Calibri"/>
          <w:sz w:val="22"/>
          <w:szCs w:val="22"/>
          <w:lang w:bidi="en-US"/>
        </w:rPr>
        <w:t xml:space="preserve">Credit shall not be granted for late arrivals, excessive absences, and/or early departures. Students are not allowed to make up missed portions of a course. </w:t>
      </w:r>
    </w:p>
    <w:p w:rsidR="0060314F" w:rsidRPr="00502515" w:rsidRDefault="0060314F" w:rsidP="00502515">
      <w:pPr>
        <w:widowControl w:val="0"/>
        <w:autoSpaceDE w:val="0"/>
        <w:autoSpaceDN w:val="0"/>
        <w:spacing w:before="119"/>
        <w:jc w:val="both"/>
        <w:rPr>
          <w:rFonts w:ascii="Calibri" w:eastAsia="Kalinga" w:hAnsi="Calibri" w:cs="Calibri"/>
          <w:sz w:val="22"/>
          <w:szCs w:val="22"/>
          <w:lang w:bidi="en-US"/>
        </w:rPr>
      </w:pPr>
      <w:r w:rsidRPr="00502515">
        <w:rPr>
          <w:rFonts w:ascii="Calibri" w:hAnsi="Calibri" w:cs="Calibri"/>
          <w:b/>
          <w:sz w:val="22"/>
          <w:szCs w:val="22"/>
        </w:rPr>
        <w:t xml:space="preserve">Course Participation: </w:t>
      </w:r>
      <w:r w:rsidRPr="00502515">
        <w:rPr>
          <w:rFonts w:ascii="Calibri" w:hAnsi="Calibri" w:cs="Calibri"/>
          <w:sz w:val="22"/>
          <w:szCs w:val="22"/>
        </w:rPr>
        <w:t xml:space="preserve">Instructors may not, in any venue, answer questions of a personal or legal nature, </w:t>
      </w:r>
      <w:r w:rsidRPr="00502515">
        <w:rPr>
          <w:rFonts w:ascii="Calibri" w:hAnsi="Calibri" w:cs="Calibri"/>
          <w:sz w:val="22"/>
          <w:szCs w:val="22"/>
        </w:rPr>
        <w:lastRenderedPageBreak/>
        <w:t>and students should not interpret any information received from instructors or course content as being legal</w:t>
      </w:r>
      <w:r w:rsidRPr="00502515">
        <w:rPr>
          <w:rFonts w:ascii="Calibri" w:hAnsi="Calibri" w:cs="Calibri"/>
          <w:spacing w:val="-12"/>
          <w:sz w:val="22"/>
          <w:szCs w:val="22"/>
        </w:rPr>
        <w:t xml:space="preserve"> </w:t>
      </w:r>
      <w:r w:rsidRPr="00502515">
        <w:rPr>
          <w:rFonts w:ascii="Calibri" w:hAnsi="Calibri" w:cs="Calibri"/>
          <w:sz w:val="22"/>
          <w:szCs w:val="22"/>
        </w:rPr>
        <w:t xml:space="preserve">advice. </w:t>
      </w:r>
      <w:r w:rsidRPr="00502515">
        <w:rPr>
          <w:rFonts w:ascii="Calibri" w:hAnsi="Calibri" w:cs="Calibri"/>
          <w:spacing w:val="3"/>
          <w:sz w:val="22"/>
          <w:szCs w:val="22"/>
        </w:rPr>
        <w:t xml:space="preserve"> </w:t>
      </w:r>
      <w:r w:rsidRPr="00502515">
        <w:rPr>
          <w:rFonts w:ascii="Calibri" w:hAnsi="Calibri" w:cs="Calibri"/>
          <w:sz w:val="22"/>
          <w:szCs w:val="22"/>
        </w:rPr>
        <w:t xml:space="preserve"> </w:t>
      </w:r>
    </w:p>
    <w:p w:rsidR="0060314F" w:rsidRPr="00502515" w:rsidRDefault="0060314F" w:rsidP="00502515">
      <w:pPr>
        <w:pStyle w:val="BodyText"/>
        <w:spacing w:before="121"/>
        <w:jc w:val="both"/>
        <w:rPr>
          <w:rFonts w:ascii="Calibri" w:hAnsi="Calibri" w:cs="Calibri"/>
          <w:sz w:val="22"/>
          <w:szCs w:val="22"/>
        </w:rPr>
      </w:pPr>
      <w:r w:rsidRPr="00502515">
        <w:rPr>
          <w:rFonts w:ascii="Calibri" w:hAnsi="Calibri" w:cs="Calibri"/>
          <w:b/>
          <w:sz w:val="22"/>
          <w:szCs w:val="22"/>
        </w:rPr>
        <w:t xml:space="preserve">Classroom Rules of Conduct: </w:t>
      </w:r>
      <w:r w:rsidRPr="00502515">
        <w:rPr>
          <w:rFonts w:ascii="Calibri" w:hAnsi="Calibri" w:cs="Calibri"/>
          <w:sz w:val="22"/>
          <w:szCs w:val="22"/>
        </w:rPr>
        <w:t xml:space="preserve">To provide an atmosphere conducive to learning, students must turn off all electronic devices prior to the start of class. Newspapers, books, magazines, or any other reading materials are not permitted during class presentation. Violations may result in loss of continuing education credit. </w:t>
      </w:r>
      <w:r w:rsidRPr="00502515">
        <w:rPr>
          <w:rFonts w:ascii="Calibri" w:hAnsi="Calibri" w:cs="Calibri"/>
          <w:spacing w:val="-3"/>
          <w:sz w:val="22"/>
          <w:szCs w:val="22"/>
        </w:rPr>
        <w:t xml:space="preserve"> </w:t>
      </w:r>
      <w:r w:rsidRPr="00502515">
        <w:rPr>
          <w:rFonts w:ascii="Calibri" w:hAnsi="Calibri" w:cs="Calibri"/>
          <w:sz w:val="22"/>
          <w:szCs w:val="22"/>
        </w:rPr>
        <w:t xml:space="preserve"> </w:t>
      </w:r>
    </w:p>
    <w:p w:rsidR="00502515" w:rsidRPr="00502515" w:rsidRDefault="0060314F" w:rsidP="00502515">
      <w:pPr>
        <w:pStyle w:val="BodyText"/>
        <w:spacing w:before="121"/>
        <w:jc w:val="both"/>
        <w:rPr>
          <w:rFonts w:ascii="Calibri" w:hAnsi="Calibri" w:cs="Calibri"/>
          <w:sz w:val="22"/>
          <w:szCs w:val="22"/>
        </w:rPr>
      </w:pPr>
      <w:r w:rsidRPr="00502515">
        <w:rPr>
          <w:rFonts w:ascii="Calibri" w:hAnsi="Calibri" w:cs="Calibri"/>
          <w:b/>
          <w:sz w:val="22"/>
          <w:szCs w:val="22"/>
        </w:rPr>
        <w:t xml:space="preserve">ADA Compliance: </w:t>
      </w:r>
      <w:r w:rsidRPr="00502515">
        <w:rPr>
          <w:rFonts w:ascii="Calibri" w:hAnsi="Calibri" w:cs="Calibri"/>
          <w:sz w:val="22"/>
          <w:szCs w:val="22"/>
        </w:rPr>
        <w:t xml:space="preserve">Upon request, reasonable accommodations will be provided to individuals with a documented disability to assure that an equal opportunity to participate in this course is provided. For further information, contact our office at (555) 555-5555. </w:t>
      </w:r>
    </w:p>
    <w:p w:rsidR="00502515" w:rsidRPr="00502515" w:rsidRDefault="0060314F" w:rsidP="00502515">
      <w:pPr>
        <w:pStyle w:val="BodyText"/>
        <w:spacing w:before="121"/>
        <w:jc w:val="both"/>
        <w:rPr>
          <w:rFonts w:ascii="Calibri" w:hAnsi="Calibri" w:cs="Calibri"/>
          <w:b/>
          <w:sz w:val="22"/>
          <w:szCs w:val="22"/>
        </w:rPr>
      </w:pPr>
      <w:r w:rsidRPr="00502515">
        <w:rPr>
          <w:rFonts w:ascii="Calibri" w:hAnsi="Calibri" w:cs="Calibri"/>
          <w:b/>
          <w:sz w:val="22"/>
          <w:szCs w:val="22"/>
        </w:rPr>
        <w:t xml:space="preserve">Vendor Contact Information: (insert your contact information here) </w:t>
      </w:r>
    </w:p>
    <w:p w:rsidR="00502515" w:rsidRPr="00502515" w:rsidRDefault="0060314F" w:rsidP="00502515">
      <w:pPr>
        <w:pStyle w:val="BodyText"/>
        <w:spacing w:before="121"/>
        <w:jc w:val="both"/>
        <w:rPr>
          <w:rFonts w:ascii="Calibri" w:hAnsi="Calibri" w:cs="Calibri"/>
          <w:sz w:val="22"/>
          <w:szCs w:val="22"/>
        </w:rPr>
      </w:pPr>
      <w:r w:rsidRPr="00502515">
        <w:rPr>
          <w:rFonts w:ascii="Calibri" w:hAnsi="Calibri" w:cs="Calibri"/>
          <w:b/>
          <w:sz w:val="22"/>
          <w:szCs w:val="22"/>
        </w:rPr>
        <w:t xml:space="preserve">Phone: </w:t>
      </w:r>
      <w:r w:rsidRPr="00502515">
        <w:rPr>
          <w:rFonts w:ascii="Calibri" w:hAnsi="Calibri" w:cs="Calibri"/>
          <w:sz w:val="22"/>
          <w:szCs w:val="22"/>
        </w:rPr>
        <w:t xml:space="preserve">(555) 555·5555, weekdays between 8:30 a.m. and 5 p.m. central time. </w:t>
      </w:r>
    </w:p>
    <w:p w:rsidR="0060314F" w:rsidRPr="00502515" w:rsidRDefault="0060314F" w:rsidP="00502515">
      <w:pPr>
        <w:pStyle w:val="BodyText"/>
        <w:spacing w:before="121"/>
        <w:jc w:val="both"/>
        <w:rPr>
          <w:rFonts w:ascii="Calibri" w:hAnsi="Calibri" w:cs="Calibri"/>
          <w:sz w:val="22"/>
          <w:szCs w:val="22"/>
        </w:rPr>
      </w:pPr>
      <w:r w:rsidRPr="00502515">
        <w:rPr>
          <w:rFonts w:ascii="Calibri" w:hAnsi="Calibri" w:cs="Calibri"/>
          <w:b/>
          <w:sz w:val="22"/>
          <w:szCs w:val="22"/>
        </w:rPr>
        <w:t xml:space="preserve">E-mail: </w:t>
      </w:r>
      <w:hyperlink r:id="rId10">
        <w:r w:rsidRPr="00502515">
          <w:rPr>
            <w:rFonts w:ascii="Calibri" w:hAnsi="Calibri" w:cs="Calibri"/>
            <w:color w:val="0000FF"/>
            <w:sz w:val="22"/>
            <w:szCs w:val="22"/>
            <w:u w:val="single" w:color="0000FF"/>
          </w:rPr>
          <w:t>anyschool@yourschool.com</w:t>
        </w:r>
        <w:r w:rsidRPr="00502515">
          <w:rPr>
            <w:rFonts w:ascii="Calibri" w:hAnsi="Calibri" w:cs="Calibri"/>
            <w:color w:val="0000FF"/>
            <w:sz w:val="22"/>
            <w:szCs w:val="22"/>
          </w:rPr>
          <w:t xml:space="preserve"> </w:t>
        </w:r>
      </w:hyperlink>
      <w:r w:rsidRPr="00502515">
        <w:rPr>
          <w:rFonts w:ascii="Calibri" w:hAnsi="Calibri" w:cs="Calibri"/>
          <w:sz w:val="22"/>
          <w:szCs w:val="22"/>
        </w:rPr>
        <w:t xml:space="preserve"> </w:t>
      </w:r>
    </w:p>
    <w:p w:rsidR="0060314F" w:rsidRDefault="0060314F" w:rsidP="00502515">
      <w:pPr>
        <w:spacing w:line="377" w:lineRule="exact"/>
        <w:jc w:val="both"/>
        <w:rPr>
          <w:rFonts w:ascii="Calibri" w:hAnsi="Calibri" w:cs="Calibri"/>
          <w:sz w:val="22"/>
          <w:szCs w:val="22"/>
        </w:rPr>
      </w:pPr>
      <w:r w:rsidRPr="00502515">
        <w:rPr>
          <w:rFonts w:ascii="Calibri" w:hAnsi="Calibri" w:cs="Calibri"/>
          <w:b/>
          <w:sz w:val="22"/>
          <w:szCs w:val="22"/>
        </w:rPr>
        <w:t xml:space="preserve">Address: </w:t>
      </w:r>
      <w:r w:rsidRPr="00502515">
        <w:rPr>
          <w:rFonts w:ascii="Calibri" w:hAnsi="Calibri" w:cs="Calibri"/>
          <w:sz w:val="22"/>
          <w:szCs w:val="22"/>
        </w:rPr>
        <w:t xml:space="preserve">any town USA </w:t>
      </w:r>
    </w:p>
    <w:p w:rsidR="00502515" w:rsidRPr="00502515" w:rsidRDefault="00502515" w:rsidP="00502515">
      <w:pPr>
        <w:spacing w:line="377" w:lineRule="exact"/>
        <w:jc w:val="both"/>
        <w:rPr>
          <w:rFonts w:ascii="Calibri" w:hAnsi="Calibri" w:cs="Calibri"/>
          <w:sz w:val="22"/>
          <w:szCs w:val="22"/>
        </w:rPr>
      </w:pPr>
    </w:p>
    <w:p w:rsidR="0060314F" w:rsidRPr="00502515" w:rsidRDefault="0060314F" w:rsidP="00502515">
      <w:pPr>
        <w:widowControl w:val="0"/>
        <w:autoSpaceDE w:val="0"/>
        <w:autoSpaceDN w:val="0"/>
        <w:spacing w:before="118"/>
        <w:jc w:val="both"/>
        <w:outlineLvl w:val="1"/>
        <w:rPr>
          <w:rFonts w:ascii="Calibri" w:eastAsia="Times New Roman" w:hAnsi="Calibri" w:cs="Calibri"/>
          <w:b/>
          <w:bCs/>
          <w:sz w:val="32"/>
          <w:szCs w:val="32"/>
          <w:lang w:bidi="en-US"/>
        </w:rPr>
      </w:pPr>
      <w:r w:rsidRPr="00502515">
        <w:rPr>
          <w:rFonts w:ascii="Calibri" w:eastAsia="Times New Roman" w:hAnsi="Calibri" w:cs="Calibri"/>
          <w:b/>
          <w:bCs/>
          <w:sz w:val="32"/>
          <w:szCs w:val="32"/>
          <w:lang w:bidi="en-US"/>
        </w:rPr>
        <w:t>Disclaimer</w:t>
      </w:r>
    </w:p>
    <w:p w:rsidR="0060314F" w:rsidRDefault="0060314F" w:rsidP="008519B8">
      <w:pPr>
        <w:widowControl w:val="0"/>
        <w:autoSpaceDE w:val="0"/>
        <w:autoSpaceDN w:val="0"/>
        <w:jc w:val="both"/>
        <w:rPr>
          <w:rFonts w:ascii="Calibri" w:eastAsia="Kalinga" w:hAnsi="Calibri" w:cs="Calibri"/>
          <w:lang w:bidi="en-US"/>
        </w:rPr>
      </w:pPr>
      <w:r w:rsidRPr="00502515">
        <w:rPr>
          <w:rFonts w:ascii="Calibri" w:eastAsia="Kalinga" w:hAnsi="Calibri" w:cs="Calibri"/>
          <w:lang w:bidi="en-US"/>
        </w:rPr>
        <w:t>These materials are to be used for informational purposes and should not be construed as specific legal advice, nor are they designed to cover every aspect of a legal situation or every factual circumstance that may arise regarding the subject matter</w:t>
      </w:r>
      <w:r w:rsidRPr="00502515">
        <w:rPr>
          <w:rFonts w:ascii="Calibri" w:eastAsia="Kalinga" w:hAnsi="Calibri" w:cs="Calibri"/>
          <w:spacing w:val="-1"/>
          <w:lang w:bidi="en-US"/>
        </w:rPr>
        <w:t xml:space="preserve"> </w:t>
      </w:r>
      <w:r w:rsidRPr="00502515">
        <w:rPr>
          <w:rFonts w:ascii="Calibri" w:eastAsia="Kalinga" w:hAnsi="Calibri" w:cs="Calibri"/>
          <w:lang w:bidi="en-US"/>
        </w:rPr>
        <w:t xml:space="preserve">included. </w:t>
      </w:r>
    </w:p>
    <w:p w:rsidR="00FC401D" w:rsidRPr="00502515" w:rsidRDefault="00FC401D" w:rsidP="008519B8">
      <w:pPr>
        <w:widowControl w:val="0"/>
        <w:autoSpaceDE w:val="0"/>
        <w:autoSpaceDN w:val="0"/>
        <w:jc w:val="both"/>
        <w:rPr>
          <w:rFonts w:ascii="Calibri" w:eastAsia="Kalinga" w:hAnsi="Calibri" w:cs="Calibri"/>
          <w:lang w:bidi="en-US"/>
        </w:rPr>
      </w:pPr>
    </w:p>
    <w:p w:rsidR="0060314F" w:rsidRDefault="0060314F" w:rsidP="008519B8">
      <w:pPr>
        <w:widowControl w:val="0"/>
        <w:autoSpaceDE w:val="0"/>
        <w:autoSpaceDN w:val="0"/>
        <w:jc w:val="both"/>
        <w:rPr>
          <w:rFonts w:ascii="Calibri" w:eastAsia="Kalinga" w:hAnsi="Calibri" w:cs="Calibri"/>
          <w:lang w:bidi="en-US"/>
        </w:rPr>
      </w:pPr>
      <w:r w:rsidRPr="00502515">
        <w:rPr>
          <w:rFonts w:ascii="Calibri" w:eastAsia="Kalinga" w:hAnsi="Calibri" w:cs="Calibri"/>
          <w:lang w:bidi="en-US"/>
        </w:rPr>
        <w:t>This publication is for reference purposes only and readers are responsible for contacting their own attorneys or other professional advisors for legal or contract advice. The comments provided herein solely represent the opinions of the authors and are not a guarantee of interpretation of the law or contracts by any court or by the Louisiana Real Estate</w:t>
      </w:r>
      <w:r w:rsidRPr="00502515">
        <w:rPr>
          <w:rFonts w:ascii="Calibri" w:eastAsia="Kalinga" w:hAnsi="Calibri" w:cs="Calibri"/>
          <w:spacing w:val="-8"/>
          <w:lang w:bidi="en-US"/>
        </w:rPr>
        <w:t xml:space="preserve"> </w:t>
      </w:r>
      <w:r w:rsidRPr="00502515">
        <w:rPr>
          <w:rFonts w:ascii="Calibri" w:eastAsia="Kalinga" w:hAnsi="Calibri" w:cs="Calibri"/>
          <w:lang w:bidi="en-US"/>
        </w:rPr>
        <w:t xml:space="preserve">Commission. </w:t>
      </w:r>
    </w:p>
    <w:p w:rsidR="00FE2E38" w:rsidRDefault="00FE2E38" w:rsidP="008519B8">
      <w:pPr>
        <w:widowControl w:val="0"/>
        <w:autoSpaceDE w:val="0"/>
        <w:autoSpaceDN w:val="0"/>
        <w:jc w:val="both"/>
        <w:rPr>
          <w:rFonts w:ascii="Calibri" w:eastAsia="Kalinga" w:hAnsi="Calibri" w:cs="Calibri"/>
          <w:lang w:bidi="en-US"/>
        </w:rPr>
      </w:pPr>
    </w:p>
    <w:p w:rsidR="00FE2E38" w:rsidRPr="00906B9E" w:rsidRDefault="00FE2E38" w:rsidP="00FE2E38">
      <w:pPr>
        <w:jc w:val="both"/>
      </w:pPr>
      <w:r w:rsidRPr="00906B9E">
        <w:t xml:space="preserve">The </w:t>
      </w:r>
      <w:bookmarkStart w:id="9" w:name="_Hlk20747836"/>
      <w:r w:rsidRPr="00906B9E">
        <w:t>NAR Equal Professional Service Model and the REALTORS</w:t>
      </w:r>
      <w:r w:rsidRPr="00906B9E">
        <w:rPr>
          <w:rFonts w:ascii="Calibri" w:eastAsia="Calibri" w:hAnsi="Calibri" w:cs="Times New Roman"/>
          <w:color w:val="000000"/>
        </w:rPr>
        <w:t>® Code of Ethics</w:t>
      </w:r>
      <w:bookmarkEnd w:id="9"/>
      <w:r w:rsidRPr="00906B9E">
        <w:rPr>
          <w:rFonts w:ascii="Calibri" w:eastAsia="Calibri" w:hAnsi="Calibri" w:cs="Times New Roman"/>
          <w:color w:val="000000"/>
        </w:rPr>
        <w:t xml:space="preserve"> </w:t>
      </w:r>
      <w:r>
        <w:rPr>
          <w:rFonts w:ascii="Calibri" w:eastAsia="Calibri" w:hAnsi="Calibri" w:cs="Times New Roman"/>
          <w:color w:val="000000"/>
        </w:rPr>
        <w:t>are not specifically required by or included in Title VIII of the Civil Rights Act of 1968 (The Fair Housing Act). However, the material is</w:t>
      </w:r>
      <w:r w:rsidRPr="00906B9E">
        <w:rPr>
          <w:rFonts w:ascii="Calibri" w:eastAsia="Calibri" w:hAnsi="Calibri" w:cs="Times New Roman"/>
          <w:color w:val="000000"/>
        </w:rPr>
        <w:t xml:space="preserve"> included in this </w:t>
      </w:r>
      <w:r>
        <w:rPr>
          <w:rFonts w:ascii="Calibri" w:eastAsia="Calibri" w:hAnsi="Calibri" w:cs="Times New Roman"/>
          <w:color w:val="000000"/>
        </w:rPr>
        <w:t>c</w:t>
      </w:r>
      <w:r w:rsidRPr="00906B9E">
        <w:rPr>
          <w:rFonts w:ascii="Calibri" w:eastAsia="Calibri" w:hAnsi="Calibri" w:cs="Times New Roman"/>
          <w:color w:val="000000"/>
        </w:rPr>
        <w:t xml:space="preserve">ourse for informational purposes. LREC did not participate in the creation </w:t>
      </w:r>
      <w:r>
        <w:rPr>
          <w:rFonts w:ascii="Calibri" w:eastAsia="Calibri" w:hAnsi="Calibri" w:cs="Times New Roman"/>
          <w:color w:val="000000"/>
        </w:rPr>
        <w:t xml:space="preserve">of either the </w:t>
      </w:r>
      <w:r w:rsidRPr="00906B9E">
        <w:t xml:space="preserve">NAR Equal Professional Service Model </w:t>
      </w:r>
      <w:r>
        <w:t>or</w:t>
      </w:r>
      <w:r w:rsidRPr="00906B9E">
        <w:t xml:space="preserve"> the REALTORS</w:t>
      </w:r>
      <w:r w:rsidRPr="00906B9E">
        <w:rPr>
          <w:rFonts w:ascii="Calibri" w:eastAsia="Calibri" w:hAnsi="Calibri" w:cs="Times New Roman"/>
          <w:color w:val="000000"/>
        </w:rPr>
        <w:t>® Code of Ethics</w:t>
      </w:r>
      <w:r>
        <w:rPr>
          <w:rFonts w:ascii="Calibri" w:eastAsia="Calibri" w:hAnsi="Calibri" w:cs="Times New Roman"/>
          <w:color w:val="000000"/>
        </w:rPr>
        <w:t xml:space="preserve"> and is not verifying their compliance with the Fair Housing Act by inclusion in this course.  Further, LREC licensees are not required to be a member of any REALTORS</w:t>
      </w:r>
      <w:r w:rsidRPr="00906B9E">
        <w:rPr>
          <w:rFonts w:ascii="Calibri" w:eastAsia="Calibri" w:hAnsi="Calibri" w:cs="Times New Roman"/>
          <w:color w:val="000000"/>
        </w:rPr>
        <w:t>®</w:t>
      </w:r>
      <w:r>
        <w:rPr>
          <w:rFonts w:ascii="Calibri" w:eastAsia="Calibri" w:hAnsi="Calibri" w:cs="Times New Roman"/>
          <w:color w:val="000000"/>
        </w:rPr>
        <w:t xml:space="preserve"> association.</w:t>
      </w:r>
    </w:p>
    <w:p w:rsidR="008519B8" w:rsidRPr="00502515" w:rsidRDefault="008519B8" w:rsidP="008519B8">
      <w:pPr>
        <w:widowControl w:val="0"/>
        <w:autoSpaceDE w:val="0"/>
        <w:autoSpaceDN w:val="0"/>
        <w:jc w:val="both"/>
        <w:rPr>
          <w:rFonts w:ascii="Calibri" w:eastAsia="Kalinga" w:hAnsi="Calibri" w:cs="Calibri"/>
          <w:lang w:bidi="en-US"/>
        </w:rPr>
      </w:pPr>
    </w:p>
    <w:bookmarkEnd w:id="8"/>
    <w:p w:rsidR="0060314F" w:rsidRPr="00502515" w:rsidRDefault="0060314F" w:rsidP="00502515">
      <w:pPr>
        <w:widowControl w:val="0"/>
        <w:autoSpaceDE w:val="0"/>
        <w:autoSpaceDN w:val="0"/>
        <w:spacing w:before="117"/>
        <w:jc w:val="both"/>
        <w:outlineLvl w:val="2"/>
        <w:rPr>
          <w:rFonts w:ascii="Calibri" w:eastAsia="Kalinga" w:hAnsi="Calibri" w:cs="Calibri"/>
          <w:b/>
          <w:bCs/>
          <w:sz w:val="28"/>
          <w:szCs w:val="28"/>
          <w:lang w:bidi="en-US"/>
        </w:rPr>
      </w:pPr>
      <w:r w:rsidRPr="00502515">
        <w:rPr>
          <w:rFonts w:ascii="Calibri" w:eastAsia="Kalinga" w:hAnsi="Calibri" w:cs="Calibri"/>
          <w:b/>
          <w:bCs/>
          <w:sz w:val="28"/>
          <w:szCs w:val="28"/>
          <w:lang w:bidi="en-US"/>
        </w:rPr>
        <w:t>Notes to Instructor</w:t>
      </w:r>
    </w:p>
    <w:p w:rsidR="0060314F" w:rsidRPr="00502515" w:rsidRDefault="0060314F" w:rsidP="00502515">
      <w:pPr>
        <w:pStyle w:val="ListParagraph"/>
        <w:widowControl w:val="0"/>
        <w:numPr>
          <w:ilvl w:val="0"/>
          <w:numId w:val="42"/>
        </w:numPr>
        <w:tabs>
          <w:tab w:val="left" w:pos="1270"/>
        </w:tabs>
        <w:autoSpaceDE w:val="0"/>
        <w:autoSpaceDN w:val="0"/>
        <w:spacing w:before="1" w:line="305" w:lineRule="exact"/>
        <w:contextualSpacing w:val="0"/>
        <w:jc w:val="both"/>
        <w:rPr>
          <w:rFonts w:ascii="Calibri" w:hAnsi="Calibri" w:cs="Calibri"/>
        </w:rPr>
      </w:pPr>
      <w:r w:rsidRPr="00502515">
        <w:rPr>
          <w:rFonts w:ascii="Calibri" w:hAnsi="Calibri" w:cs="Calibri"/>
        </w:rPr>
        <w:t>Students must remain in the classroom for the entire class</w:t>
      </w:r>
      <w:r w:rsidRPr="00502515">
        <w:rPr>
          <w:rFonts w:ascii="Calibri" w:hAnsi="Calibri" w:cs="Calibri"/>
          <w:spacing w:val="-7"/>
        </w:rPr>
        <w:t xml:space="preserve"> </w:t>
      </w:r>
      <w:r w:rsidRPr="00502515">
        <w:rPr>
          <w:rFonts w:ascii="Calibri" w:hAnsi="Calibri" w:cs="Calibri"/>
        </w:rPr>
        <w:t>time.</w:t>
      </w:r>
    </w:p>
    <w:p w:rsidR="0060314F" w:rsidRPr="00502515" w:rsidRDefault="0060314F" w:rsidP="00502515">
      <w:pPr>
        <w:pStyle w:val="ListParagraph"/>
        <w:widowControl w:val="0"/>
        <w:numPr>
          <w:ilvl w:val="0"/>
          <w:numId w:val="42"/>
        </w:numPr>
        <w:tabs>
          <w:tab w:val="left" w:pos="1270"/>
        </w:tabs>
        <w:autoSpaceDE w:val="0"/>
        <w:autoSpaceDN w:val="0"/>
        <w:spacing w:line="305" w:lineRule="exact"/>
        <w:contextualSpacing w:val="0"/>
        <w:jc w:val="both"/>
        <w:rPr>
          <w:rFonts w:ascii="Calibri" w:hAnsi="Calibri" w:cs="Calibri"/>
        </w:rPr>
      </w:pPr>
      <w:r w:rsidRPr="00502515">
        <w:rPr>
          <w:rFonts w:ascii="Calibri" w:hAnsi="Calibri" w:cs="Calibri"/>
        </w:rPr>
        <w:t>Students may not use cell phones during</w:t>
      </w:r>
      <w:r w:rsidRPr="00502515">
        <w:rPr>
          <w:rFonts w:ascii="Calibri" w:hAnsi="Calibri" w:cs="Calibri"/>
          <w:spacing w:val="-6"/>
        </w:rPr>
        <w:t xml:space="preserve"> </w:t>
      </w:r>
      <w:r w:rsidRPr="00502515">
        <w:rPr>
          <w:rFonts w:ascii="Calibri" w:hAnsi="Calibri" w:cs="Calibri"/>
        </w:rPr>
        <w:t>class.</w:t>
      </w:r>
    </w:p>
    <w:p w:rsidR="0060314F" w:rsidRPr="00502515" w:rsidRDefault="0060314F" w:rsidP="00502515">
      <w:pPr>
        <w:pStyle w:val="ListParagraph"/>
        <w:widowControl w:val="0"/>
        <w:numPr>
          <w:ilvl w:val="0"/>
          <w:numId w:val="42"/>
        </w:numPr>
        <w:tabs>
          <w:tab w:val="left" w:pos="1270"/>
        </w:tabs>
        <w:autoSpaceDE w:val="0"/>
        <w:autoSpaceDN w:val="0"/>
        <w:spacing w:before="2"/>
        <w:contextualSpacing w:val="0"/>
        <w:jc w:val="both"/>
        <w:rPr>
          <w:rFonts w:ascii="Calibri" w:hAnsi="Calibri" w:cs="Calibri"/>
        </w:rPr>
      </w:pPr>
      <w:r w:rsidRPr="00502515">
        <w:rPr>
          <w:rFonts w:ascii="Calibri" w:hAnsi="Calibri" w:cs="Calibri"/>
        </w:rPr>
        <w:t>Students arriving late or leaving early will not receive a certificate of</w:t>
      </w:r>
      <w:r w:rsidRPr="00502515">
        <w:rPr>
          <w:rFonts w:ascii="Calibri" w:hAnsi="Calibri" w:cs="Calibri"/>
          <w:spacing w:val="-14"/>
        </w:rPr>
        <w:t xml:space="preserve"> </w:t>
      </w:r>
      <w:r w:rsidRPr="00502515">
        <w:rPr>
          <w:rFonts w:ascii="Calibri" w:hAnsi="Calibri" w:cs="Calibri"/>
        </w:rPr>
        <w:t>completion.</w:t>
      </w:r>
    </w:p>
    <w:p w:rsidR="0060314F" w:rsidRPr="00502515" w:rsidRDefault="0060314F" w:rsidP="00502515">
      <w:pPr>
        <w:pStyle w:val="ListParagraph"/>
        <w:widowControl w:val="0"/>
        <w:numPr>
          <w:ilvl w:val="0"/>
          <w:numId w:val="42"/>
        </w:numPr>
        <w:tabs>
          <w:tab w:val="left" w:pos="1269"/>
          <w:tab w:val="left" w:pos="1270"/>
        </w:tabs>
        <w:autoSpaceDE w:val="0"/>
        <w:autoSpaceDN w:val="0"/>
        <w:contextualSpacing w:val="0"/>
        <w:jc w:val="both"/>
        <w:rPr>
          <w:rFonts w:ascii="Calibri" w:hAnsi="Calibri" w:cs="Calibri"/>
        </w:rPr>
      </w:pPr>
      <w:r w:rsidRPr="00502515">
        <w:rPr>
          <w:rFonts w:ascii="Calibri" w:hAnsi="Calibri" w:cs="Calibri"/>
        </w:rPr>
        <w:t>Instructors will be provided with a Power Point Presentation that accompanies the</w:t>
      </w:r>
      <w:r w:rsidRPr="00502515">
        <w:rPr>
          <w:rFonts w:ascii="Calibri" w:hAnsi="Calibri" w:cs="Calibri"/>
          <w:spacing w:val="-19"/>
        </w:rPr>
        <w:t xml:space="preserve"> </w:t>
      </w:r>
      <w:r w:rsidRPr="00502515">
        <w:rPr>
          <w:rFonts w:ascii="Calibri" w:hAnsi="Calibri" w:cs="Calibri"/>
        </w:rPr>
        <w:t>course.</w:t>
      </w:r>
    </w:p>
    <w:p w:rsidR="0060314F" w:rsidRPr="00502515" w:rsidRDefault="0060314F" w:rsidP="00502515">
      <w:pPr>
        <w:pStyle w:val="ListParagraph"/>
        <w:widowControl w:val="0"/>
        <w:numPr>
          <w:ilvl w:val="0"/>
          <w:numId w:val="42"/>
        </w:numPr>
        <w:tabs>
          <w:tab w:val="left" w:pos="1269"/>
          <w:tab w:val="left" w:pos="1270"/>
        </w:tabs>
        <w:autoSpaceDE w:val="0"/>
        <w:autoSpaceDN w:val="0"/>
        <w:contextualSpacing w:val="0"/>
        <w:rPr>
          <w:rFonts w:ascii="Calibri" w:hAnsi="Calibri" w:cs="Calibri"/>
        </w:rPr>
      </w:pPr>
      <w:r w:rsidRPr="00502515">
        <w:rPr>
          <w:rFonts w:ascii="Calibri" w:hAnsi="Calibri" w:cs="Calibri"/>
        </w:rPr>
        <w:t>There are no other hand-outs other than the student</w:t>
      </w:r>
      <w:r w:rsidRPr="00502515">
        <w:rPr>
          <w:rFonts w:ascii="Calibri" w:hAnsi="Calibri" w:cs="Calibri"/>
          <w:spacing w:val="-8"/>
        </w:rPr>
        <w:t xml:space="preserve"> </w:t>
      </w:r>
      <w:r w:rsidRPr="00502515">
        <w:rPr>
          <w:rFonts w:ascii="Calibri" w:hAnsi="Calibri" w:cs="Calibri"/>
        </w:rPr>
        <w:t>manual.</w:t>
      </w:r>
    </w:p>
    <w:p w:rsidR="0060314F" w:rsidRPr="00502515" w:rsidRDefault="0060314F" w:rsidP="00502515">
      <w:pPr>
        <w:pStyle w:val="ListParagraph"/>
        <w:widowControl w:val="0"/>
        <w:numPr>
          <w:ilvl w:val="0"/>
          <w:numId w:val="42"/>
        </w:numPr>
        <w:tabs>
          <w:tab w:val="left" w:pos="1269"/>
          <w:tab w:val="left" w:pos="1270"/>
        </w:tabs>
        <w:autoSpaceDE w:val="0"/>
        <w:autoSpaceDN w:val="0"/>
        <w:contextualSpacing w:val="0"/>
        <w:jc w:val="both"/>
        <w:rPr>
          <w:rFonts w:ascii="Calibri" w:hAnsi="Calibri" w:cs="Calibri"/>
        </w:rPr>
      </w:pPr>
      <w:r w:rsidRPr="00502515">
        <w:rPr>
          <w:rFonts w:ascii="Calibri" w:hAnsi="Calibri" w:cs="Calibri"/>
        </w:rPr>
        <w:t>One academic hour is 50 minutes. You may take a 10-minute break every hour for a total</w:t>
      </w:r>
      <w:r w:rsidRPr="00502515">
        <w:rPr>
          <w:rFonts w:ascii="Calibri" w:hAnsi="Calibri" w:cs="Calibri"/>
          <w:spacing w:val="-35"/>
        </w:rPr>
        <w:t xml:space="preserve"> </w:t>
      </w:r>
      <w:r w:rsidRPr="00502515">
        <w:rPr>
          <w:rFonts w:ascii="Calibri" w:hAnsi="Calibri" w:cs="Calibri"/>
        </w:rPr>
        <w:t>of 40 minutes for a 4-hour course, to be taken at the instructor’s</w:t>
      </w:r>
      <w:r w:rsidRPr="00502515">
        <w:rPr>
          <w:rFonts w:ascii="Calibri" w:hAnsi="Calibri" w:cs="Calibri"/>
          <w:spacing w:val="-18"/>
        </w:rPr>
        <w:t xml:space="preserve"> </w:t>
      </w:r>
      <w:r w:rsidRPr="00502515">
        <w:rPr>
          <w:rFonts w:ascii="Calibri" w:hAnsi="Calibri" w:cs="Calibri"/>
        </w:rPr>
        <w:t>discretion.</w:t>
      </w:r>
    </w:p>
    <w:p w:rsidR="0060314F" w:rsidRPr="0060314F" w:rsidRDefault="0060314F" w:rsidP="0060314F">
      <w:pPr>
        <w:pStyle w:val="ListParagraph"/>
        <w:widowControl w:val="0"/>
        <w:autoSpaceDE w:val="0"/>
        <w:autoSpaceDN w:val="0"/>
        <w:spacing w:before="117"/>
        <w:jc w:val="both"/>
        <w:outlineLvl w:val="2"/>
        <w:rPr>
          <w:rFonts w:ascii="Kalinga" w:eastAsia="Kalinga" w:hAnsi="Kalinga" w:cs="Kalinga"/>
          <w:b/>
          <w:bCs/>
          <w:sz w:val="28"/>
          <w:szCs w:val="28"/>
          <w:lang w:bidi="en-US"/>
        </w:rPr>
      </w:pPr>
    </w:p>
    <w:p w:rsidR="0060314F" w:rsidRDefault="0060314F" w:rsidP="0060314F">
      <w:pPr>
        <w:spacing w:after="160" w:line="259" w:lineRule="auto"/>
        <w:rPr>
          <w:sz w:val="40"/>
          <w:szCs w:val="40"/>
        </w:rPr>
      </w:pPr>
      <w:r>
        <w:rPr>
          <w:sz w:val="40"/>
          <w:szCs w:val="40"/>
        </w:rPr>
        <w:br w:type="page"/>
      </w:r>
    </w:p>
    <w:p w:rsidR="00637F20" w:rsidRPr="00CD4517" w:rsidRDefault="00637F20" w:rsidP="000A6F74">
      <w:pPr>
        <w:pStyle w:val="Heading2"/>
      </w:pPr>
      <w:bookmarkStart w:id="10" w:name="_Toc20256104"/>
      <w:r w:rsidRPr="00CD4517">
        <w:lastRenderedPageBreak/>
        <w:t>Timed Outline</w:t>
      </w:r>
      <w:bookmarkEnd w:id="10"/>
    </w:p>
    <w:p w:rsidR="00637F20" w:rsidRPr="0060314F" w:rsidRDefault="0060314F" w:rsidP="0060314F">
      <w:pPr>
        <w:jc w:val="center"/>
        <w:rPr>
          <w:sz w:val="26"/>
          <w:szCs w:val="26"/>
        </w:rPr>
      </w:pPr>
      <w:r>
        <w:rPr>
          <w:sz w:val="26"/>
          <w:szCs w:val="26"/>
        </w:rPr>
        <w:br/>
      </w:r>
      <w:r w:rsidR="00637F20" w:rsidRPr="0060314F">
        <w:rPr>
          <w:sz w:val="26"/>
          <w:szCs w:val="26"/>
        </w:rPr>
        <w:t>Louisiana Mandatory Curriculum 2020 | Fair Housing</w:t>
      </w:r>
      <w:r w:rsidRPr="0060314F">
        <w:rPr>
          <w:sz w:val="26"/>
          <w:szCs w:val="26"/>
        </w:rPr>
        <w:t xml:space="preserve"> and Cultural Diversity</w:t>
      </w:r>
      <w:r w:rsidR="00637F20" w:rsidRPr="0060314F">
        <w:rPr>
          <w:sz w:val="26"/>
          <w:szCs w:val="26"/>
        </w:rPr>
        <w:t xml:space="preserve"> Course</w:t>
      </w:r>
    </w:p>
    <w:p w:rsidR="00637F20" w:rsidRPr="00F72FCC" w:rsidRDefault="00637F20" w:rsidP="00637F20">
      <w:pPr>
        <w:ind w:left="1440"/>
      </w:pPr>
    </w:p>
    <w:p w:rsidR="00637F20" w:rsidRPr="00CD4517" w:rsidRDefault="00637F20" w:rsidP="00637F20">
      <w:pPr>
        <w:ind w:left="1440"/>
        <w:rPr>
          <w:sz w:val="22"/>
          <w:szCs w:val="22"/>
        </w:rPr>
      </w:pPr>
      <w:r w:rsidRPr="00CD4517">
        <w:rPr>
          <w:sz w:val="22"/>
          <w:szCs w:val="22"/>
        </w:rPr>
        <w:t xml:space="preserve">Part 1: </w:t>
      </w:r>
      <w:r w:rsidRPr="00CD4517">
        <w:rPr>
          <w:sz w:val="22"/>
          <w:szCs w:val="22"/>
        </w:rPr>
        <w:tab/>
      </w:r>
      <w:r w:rsidRPr="00CD4517">
        <w:rPr>
          <w:sz w:val="22"/>
          <w:szCs w:val="22"/>
        </w:rPr>
        <w:tab/>
      </w:r>
      <w:r w:rsidRPr="00CD4517">
        <w:rPr>
          <w:sz w:val="22"/>
          <w:szCs w:val="22"/>
        </w:rPr>
        <w:tab/>
        <w:t xml:space="preserve">Laying the Foundation </w:t>
      </w:r>
    </w:p>
    <w:p w:rsidR="00637F20" w:rsidRPr="00CD4517" w:rsidRDefault="00637F20" w:rsidP="00637F20">
      <w:pPr>
        <w:ind w:left="1440"/>
        <w:rPr>
          <w:sz w:val="22"/>
          <w:szCs w:val="22"/>
        </w:rPr>
      </w:pPr>
    </w:p>
    <w:p w:rsidR="00637F20" w:rsidRPr="00CD4517" w:rsidRDefault="00637F20" w:rsidP="00637F20">
      <w:pPr>
        <w:ind w:left="1440"/>
        <w:rPr>
          <w:sz w:val="22"/>
          <w:szCs w:val="22"/>
        </w:rPr>
      </w:pPr>
      <w:r w:rsidRPr="00CD4517">
        <w:rPr>
          <w:sz w:val="22"/>
          <w:szCs w:val="22"/>
        </w:rPr>
        <w:t>5 minutes</w:t>
      </w:r>
      <w:r w:rsidRPr="00CD4517">
        <w:rPr>
          <w:sz w:val="22"/>
          <w:szCs w:val="22"/>
        </w:rPr>
        <w:tab/>
      </w:r>
      <w:r w:rsidRPr="00CD4517">
        <w:rPr>
          <w:sz w:val="22"/>
          <w:szCs w:val="22"/>
        </w:rPr>
        <w:tab/>
        <w:t>Introduction and Course Overview</w:t>
      </w:r>
    </w:p>
    <w:p w:rsidR="00637F20" w:rsidRPr="00CD4517" w:rsidRDefault="00637F20" w:rsidP="00637F20">
      <w:pPr>
        <w:ind w:left="1440"/>
        <w:rPr>
          <w:sz w:val="22"/>
          <w:szCs w:val="22"/>
        </w:rPr>
      </w:pPr>
      <w:r w:rsidRPr="00CD4517">
        <w:rPr>
          <w:sz w:val="22"/>
          <w:szCs w:val="22"/>
        </w:rPr>
        <w:t xml:space="preserve">10 minutes </w:t>
      </w:r>
      <w:r w:rsidRPr="00CD4517">
        <w:rPr>
          <w:sz w:val="22"/>
          <w:szCs w:val="22"/>
        </w:rPr>
        <w:tab/>
      </w:r>
      <w:r w:rsidRPr="00CD4517">
        <w:rPr>
          <w:sz w:val="22"/>
          <w:szCs w:val="22"/>
        </w:rPr>
        <w:tab/>
        <w:t>Let’s Review: The Fair Housing Act</w:t>
      </w:r>
      <w:r w:rsidRPr="00CD4517">
        <w:rPr>
          <w:sz w:val="22"/>
          <w:szCs w:val="22"/>
        </w:rPr>
        <w:tab/>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Fair Housing Quiz</w:t>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Fair Housing Quiz Answers and Explanations</w:t>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Review of Federally Protected Classes</w:t>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Review of State Protected Classes</w:t>
      </w:r>
      <w:r w:rsidRPr="00CD4517">
        <w:rPr>
          <w:sz w:val="22"/>
          <w:szCs w:val="22"/>
        </w:rPr>
        <w:tab/>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The Equal Professional Services Model – Know It, Use It</w:t>
      </w:r>
      <w:r w:rsidRPr="00CD4517">
        <w:rPr>
          <w:sz w:val="22"/>
          <w:szCs w:val="22"/>
        </w:rPr>
        <w:tab/>
      </w:r>
      <w:r w:rsidRPr="00CD4517">
        <w:rPr>
          <w:sz w:val="22"/>
          <w:szCs w:val="22"/>
        </w:rPr>
        <w:tab/>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Video</w:t>
      </w:r>
    </w:p>
    <w:p w:rsidR="005A7D5D" w:rsidRDefault="00637F20" w:rsidP="00637F20">
      <w:pPr>
        <w:ind w:left="1440"/>
        <w:rPr>
          <w:sz w:val="22"/>
          <w:szCs w:val="22"/>
        </w:rPr>
      </w:pPr>
      <w:r w:rsidRPr="00CD4517">
        <w:rPr>
          <w:sz w:val="22"/>
          <w:szCs w:val="22"/>
        </w:rPr>
        <w:t>15 minutes</w:t>
      </w:r>
      <w:r w:rsidRPr="00CD4517">
        <w:rPr>
          <w:sz w:val="22"/>
          <w:szCs w:val="22"/>
        </w:rPr>
        <w:tab/>
      </w:r>
      <w:r w:rsidRPr="00CD4517">
        <w:rPr>
          <w:sz w:val="22"/>
          <w:szCs w:val="22"/>
        </w:rPr>
        <w:tab/>
        <w:t>Group Discussion: The Sting of Discrimination</w:t>
      </w:r>
    </w:p>
    <w:p w:rsidR="00637F20" w:rsidRPr="00CD4517" w:rsidRDefault="00637F20" w:rsidP="00637F20">
      <w:pPr>
        <w:ind w:left="1440"/>
        <w:rPr>
          <w:sz w:val="22"/>
          <w:szCs w:val="22"/>
        </w:rPr>
      </w:pPr>
      <w:r w:rsidRPr="00CD4517">
        <w:rPr>
          <w:sz w:val="22"/>
          <w:szCs w:val="22"/>
        </w:rPr>
        <w:tab/>
      </w:r>
      <w:r w:rsidRPr="00CD4517">
        <w:rPr>
          <w:sz w:val="22"/>
          <w:szCs w:val="22"/>
        </w:rPr>
        <w:tab/>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Break</w:t>
      </w:r>
    </w:p>
    <w:p w:rsidR="00637F20" w:rsidRPr="00CD4517" w:rsidRDefault="00637F20" w:rsidP="00637F20">
      <w:pPr>
        <w:ind w:left="1440"/>
        <w:rPr>
          <w:sz w:val="22"/>
          <w:szCs w:val="22"/>
        </w:rPr>
      </w:pPr>
    </w:p>
    <w:p w:rsidR="00637F20" w:rsidRPr="00CD4517" w:rsidRDefault="00637F20" w:rsidP="00637F20">
      <w:pPr>
        <w:ind w:left="1440"/>
        <w:rPr>
          <w:sz w:val="22"/>
          <w:szCs w:val="22"/>
        </w:rPr>
      </w:pPr>
      <w:r w:rsidRPr="00CD4517">
        <w:rPr>
          <w:sz w:val="22"/>
          <w:szCs w:val="22"/>
        </w:rPr>
        <w:t xml:space="preserve">Part 2: A Murderer </w:t>
      </w:r>
      <w:r w:rsidR="0060314F" w:rsidRPr="00CD4517">
        <w:rPr>
          <w:sz w:val="22"/>
          <w:szCs w:val="22"/>
        </w:rPr>
        <w:t>with</w:t>
      </w:r>
      <w:r w:rsidRPr="00CD4517">
        <w:rPr>
          <w:sz w:val="22"/>
          <w:szCs w:val="22"/>
        </w:rPr>
        <w:t xml:space="preserve"> a Pitbull – Part 1</w:t>
      </w:r>
    </w:p>
    <w:p w:rsidR="00637F20" w:rsidRPr="00CD4517" w:rsidRDefault="00637F20" w:rsidP="00637F20">
      <w:pPr>
        <w:ind w:left="1440"/>
        <w:rPr>
          <w:sz w:val="22"/>
          <w:szCs w:val="22"/>
        </w:rPr>
      </w:pP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 xml:space="preserve">Introduction to Disparate Impact </w:t>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Case Study</w:t>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Group Discussion: Case Study Debrief</w:t>
      </w:r>
    </w:p>
    <w:p w:rsidR="00637F20" w:rsidRPr="00CD4517" w:rsidRDefault="00637F20" w:rsidP="00637F20">
      <w:pPr>
        <w:ind w:left="1440"/>
        <w:rPr>
          <w:sz w:val="22"/>
          <w:szCs w:val="22"/>
        </w:rPr>
      </w:pPr>
    </w:p>
    <w:p w:rsidR="00637F20" w:rsidRPr="00CD4517" w:rsidRDefault="00637F20" w:rsidP="00637F20">
      <w:pPr>
        <w:ind w:left="1440"/>
        <w:rPr>
          <w:sz w:val="22"/>
          <w:szCs w:val="22"/>
        </w:rPr>
      </w:pPr>
      <w:r w:rsidRPr="00CD4517">
        <w:rPr>
          <w:sz w:val="22"/>
          <w:szCs w:val="22"/>
        </w:rPr>
        <w:t xml:space="preserve">Part 3: A Murderer </w:t>
      </w:r>
      <w:r w:rsidR="0060314F" w:rsidRPr="00CD4517">
        <w:rPr>
          <w:sz w:val="22"/>
          <w:szCs w:val="22"/>
        </w:rPr>
        <w:t>with</w:t>
      </w:r>
      <w:r w:rsidRPr="00CD4517">
        <w:rPr>
          <w:sz w:val="22"/>
          <w:szCs w:val="22"/>
        </w:rPr>
        <w:t xml:space="preserve"> a Pitbull – Part 2 </w:t>
      </w:r>
    </w:p>
    <w:p w:rsidR="00637F20" w:rsidRPr="00CD4517" w:rsidRDefault="00637F20" w:rsidP="00637F20">
      <w:pPr>
        <w:ind w:left="1440"/>
        <w:rPr>
          <w:sz w:val="22"/>
          <w:szCs w:val="22"/>
        </w:rPr>
      </w:pP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Handicap and Fair Housing</w:t>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Service Animals</w:t>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Emotional Support Animals</w:t>
      </w:r>
    </w:p>
    <w:p w:rsidR="00637F20" w:rsidRPr="00CD4517" w:rsidRDefault="00637F20" w:rsidP="00637F20">
      <w:pPr>
        <w:ind w:left="1440"/>
        <w:rPr>
          <w:sz w:val="22"/>
          <w:szCs w:val="22"/>
        </w:rPr>
      </w:pPr>
      <w:r w:rsidRPr="00CD4517">
        <w:rPr>
          <w:sz w:val="22"/>
          <w:szCs w:val="22"/>
        </w:rPr>
        <w:t xml:space="preserve">10 minutes </w:t>
      </w:r>
      <w:r w:rsidRPr="00CD4517">
        <w:rPr>
          <w:sz w:val="22"/>
          <w:szCs w:val="22"/>
        </w:rPr>
        <w:tab/>
      </w:r>
      <w:r w:rsidRPr="00CD4517">
        <w:rPr>
          <w:sz w:val="22"/>
          <w:szCs w:val="22"/>
        </w:rPr>
        <w:tab/>
        <w:t xml:space="preserve">Break </w:t>
      </w:r>
    </w:p>
    <w:p w:rsidR="00637F20" w:rsidRPr="00CD4517" w:rsidRDefault="00637F20" w:rsidP="00637F20">
      <w:pPr>
        <w:ind w:left="1440"/>
        <w:rPr>
          <w:sz w:val="22"/>
          <w:szCs w:val="22"/>
        </w:rPr>
      </w:pP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Case Study</w:t>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Group Discussion: Case Study Debrief</w:t>
      </w:r>
    </w:p>
    <w:p w:rsidR="00637F20" w:rsidRPr="00CD4517" w:rsidRDefault="00637F20" w:rsidP="00637F20">
      <w:pPr>
        <w:ind w:left="1440"/>
        <w:rPr>
          <w:sz w:val="22"/>
          <w:szCs w:val="22"/>
        </w:rPr>
      </w:pPr>
    </w:p>
    <w:p w:rsidR="00637F20" w:rsidRPr="00CD4517" w:rsidRDefault="00637F20" w:rsidP="00637F20">
      <w:pPr>
        <w:ind w:left="1440"/>
        <w:rPr>
          <w:sz w:val="22"/>
          <w:szCs w:val="22"/>
        </w:rPr>
      </w:pPr>
      <w:r w:rsidRPr="00CD4517">
        <w:rPr>
          <w:sz w:val="22"/>
          <w:szCs w:val="22"/>
        </w:rPr>
        <w:t xml:space="preserve">Part 4: “How to Avoid an International Incident” </w:t>
      </w:r>
    </w:p>
    <w:p w:rsidR="00637F20" w:rsidRPr="00CD4517" w:rsidRDefault="00637F20" w:rsidP="00637F20">
      <w:pPr>
        <w:ind w:left="1440"/>
        <w:rPr>
          <w:sz w:val="22"/>
          <w:szCs w:val="22"/>
        </w:rPr>
      </w:pPr>
    </w:p>
    <w:p w:rsidR="00637F20" w:rsidRPr="00CD4517" w:rsidRDefault="00637F20" w:rsidP="00637F20">
      <w:pPr>
        <w:ind w:left="1440"/>
        <w:rPr>
          <w:sz w:val="22"/>
          <w:szCs w:val="22"/>
        </w:rPr>
      </w:pPr>
      <w:r w:rsidRPr="00CD4517">
        <w:rPr>
          <w:sz w:val="22"/>
          <w:szCs w:val="22"/>
        </w:rPr>
        <w:t>5 minutes</w:t>
      </w:r>
      <w:r w:rsidRPr="00CD4517">
        <w:rPr>
          <w:sz w:val="22"/>
          <w:szCs w:val="22"/>
        </w:rPr>
        <w:tab/>
      </w:r>
      <w:r w:rsidRPr="00CD4517">
        <w:rPr>
          <w:sz w:val="22"/>
          <w:szCs w:val="22"/>
        </w:rPr>
        <w:tab/>
        <w:t xml:space="preserve">Video </w:t>
      </w:r>
    </w:p>
    <w:p w:rsidR="00637F20" w:rsidRPr="00CD4517" w:rsidRDefault="00637F20" w:rsidP="00637F20">
      <w:pPr>
        <w:ind w:left="1440"/>
        <w:rPr>
          <w:sz w:val="22"/>
          <w:szCs w:val="22"/>
        </w:rPr>
      </w:pPr>
      <w:r w:rsidRPr="00CD4517">
        <w:rPr>
          <w:sz w:val="22"/>
          <w:szCs w:val="22"/>
        </w:rPr>
        <w:t>15 minutes</w:t>
      </w:r>
      <w:r w:rsidRPr="00CD4517">
        <w:rPr>
          <w:sz w:val="22"/>
          <w:szCs w:val="22"/>
        </w:rPr>
        <w:tab/>
      </w:r>
      <w:r w:rsidRPr="00CD4517">
        <w:rPr>
          <w:sz w:val="22"/>
          <w:szCs w:val="22"/>
        </w:rPr>
        <w:tab/>
        <w:t>Cultural Game</w:t>
      </w:r>
    </w:p>
    <w:p w:rsidR="00637F20" w:rsidRPr="00CD4517" w:rsidRDefault="00637F20" w:rsidP="00637F20">
      <w:pPr>
        <w:ind w:left="1440"/>
        <w:rPr>
          <w:sz w:val="22"/>
          <w:szCs w:val="22"/>
        </w:rPr>
      </w:pPr>
      <w:r w:rsidRPr="00CD4517">
        <w:rPr>
          <w:sz w:val="22"/>
          <w:szCs w:val="22"/>
        </w:rPr>
        <w:t>10 minutes</w:t>
      </w:r>
      <w:r w:rsidRPr="00CD4517">
        <w:rPr>
          <w:sz w:val="22"/>
          <w:szCs w:val="22"/>
        </w:rPr>
        <w:tab/>
      </w:r>
      <w:r w:rsidRPr="00CD4517">
        <w:rPr>
          <w:sz w:val="22"/>
          <w:szCs w:val="22"/>
        </w:rPr>
        <w:tab/>
        <w:t xml:space="preserve">Cultural Game Answers </w:t>
      </w:r>
    </w:p>
    <w:p w:rsidR="00637F20" w:rsidRPr="00CD4517" w:rsidRDefault="00637F20" w:rsidP="00637F20">
      <w:pPr>
        <w:ind w:left="1440"/>
        <w:rPr>
          <w:sz w:val="22"/>
          <w:szCs w:val="22"/>
        </w:rPr>
      </w:pPr>
      <w:r w:rsidRPr="00CD4517">
        <w:rPr>
          <w:sz w:val="22"/>
          <w:szCs w:val="22"/>
        </w:rPr>
        <w:t>15 minutes</w:t>
      </w:r>
      <w:r w:rsidRPr="00CD4517">
        <w:rPr>
          <w:sz w:val="22"/>
          <w:szCs w:val="22"/>
        </w:rPr>
        <w:tab/>
      </w:r>
      <w:r w:rsidRPr="00CD4517">
        <w:rPr>
          <w:sz w:val="22"/>
          <w:szCs w:val="22"/>
        </w:rPr>
        <w:tab/>
        <w:t xml:space="preserve">Activity: Diversity and Bias in real estate </w:t>
      </w:r>
    </w:p>
    <w:p w:rsidR="00637F20" w:rsidRPr="00CD4517" w:rsidRDefault="00637F20" w:rsidP="00637F20">
      <w:pPr>
        <w:ind w:left="1440"/>
        <w:rPr>
          <w:sz w:val="22"/>
          <w:szCs w:val="22"/>
        </w:rPr>
      </w:pPr>
      <w:r w:rsidRPr="00CD4517">
        <w:rPr>
          <w:sz w:val="22"/>
          <w:szCs w:val="22"/>
        </w:rPr>
        <w:t>5 minutes</w:t>
      </w:r>
      <w:r w:rsidRPr="00CD4517">
        <w:rPr>
          <w:sz w:val="22"/>
          <w:szCs w:val="22"/>
        </w:rPr>
        <w:tab/>
      </w:r>
      <w:r w:rsidRPr="00CD4517">
        <w:rPr>
          <w:sz w:val="22"/>
          <w:szCs w:val="22"/>
        </w:rPr>
        <w:tab/>
        <w:t xml:space="preserve">Wrap Up </w:t>
      </w:r>
      <w:r w:rsidRPr="00CD4517">
        <w:rPr>
          <w:sz w:val="22"/>
          <w:szCs w:val="22"/>
        </w:rPr>
        <w:tab/>
      </w:r>
    </w:p>
    <w:p w:rsidR="00637F20" w:rsidRPr="00CD4517" w:rsidRDefault="00637F20" w:rsidP="00637F20">
      <w:pPr>
        <w:ind w:left="1440"/>
        <w:rPr>
          <w:sz w:val="22"/>
          <w:szCs w:val="22"/>
        </w:rPr>
      </w:pPr>
    </w:p>
    <w:p w:rsidR="00637F20" w:rsidRPr="00CD4517" w:rsidRDefault="00637F20" w:rsidP="00637F20">
      <w:pPr>
        <w:ind w:left="1440"/>
        <w:rPr>
          <w:sz w:val="22"/>
          <w:szCs w:val="22"/>
        </w:rPr>
      </w:pPr>
    </w:p>
    <w:p w:rsidR="00637F20" w:rsidRPr="00CD4517" w:rsidRDefault="00637F20" w:rsidP="00637F20">
      <w:pPr>
        <w:ind w:left="1440"/>
        <w:rPr>
          <w:sz w:val="22"/>
          <w:szCs w:val="22"/>
        </w:rPr>
      </w:pPr>
      <w:r w:rsidRPr="00CD4517">
        <w:rPr>
          <w:sz w:val="22"/>
          <w:szCs w:val="22"/>
        </w:rPr>
        <w:t>Total: 240 minutes (4 hours)</w:t>
      </w:r>
    </w:p>
    <w:p w:rsidR="007D6988" w:rsidRDefault="007D6988" w:rsidP="00637F20">
      <w:pPr>
        <w:rPr>
          <w:sz w:val="40"/>
          <w:szCs w:val="40"/>
        </w:rPr>
      </w:pPr>
    </w:p>
    <w:p w:rsidR="00637F20" w:rsidRDefault="00637F20" w:rsidP="00E86AF3">
      <w:pPr>
        <w:jc w:val="center"/>
      </w:pPr>
    </w:p>
    <w:p w:rsidR="00637F20" w:rsidRDefault="00637F20" w:rsidP="00E86AF3">
      <w:pPr>
        <w:jc w:val="center"/>
      </w:pPr>
    </w:p>
    <w:p w:rsidR="00637F20" w:rsidRDefault="00637F20" w:rsidP="00E86AF3">
      <w:pPr>
        <w:jc w:val="center"/>
      </w:pPr>
    </w:p>
    <w:p w:rsidR="00637F20" w:rsidRDefault="00637F20" w:rsidP="00E86AF3">
      <w:pPr>
        <w:jc w:val="center"/>
      </w:pPr>
    </w:p>
    <w:p w:rsidR="0060314F" w:rsidRPr="0072456F" w:rsidRDefault="0060314F" w:rsidP="0060314F">
      <w:r w:rsidRPr="0072456F">
        <w:lastRenderedPageBreak/>
        <w:t xml:space="preserve">My goal for the development of the course is to elevate the learning of Louisiana real estate licensees as it pertains to fair housing law and cultural diversity and inclusion. </w:t>
      </w:r>
    </w:p>
    <w:p w:rsidR="0060314F" w:rsidRPr="0072456F" w:rsidRDefault="0060314F" w:rsidP="0060314F"/>
    <w:p w:rsidR="0060314F" w:rsidRPr="0072456F" w:rsidRDefault="0060314F" w:rsidP="0060314F">
      <w:pPr>
        <w:rPr>
          <w:b/>
          <w:bCs/>
        </w:rPr>
      </w:pPr>
      <w:r w:rsidRPr="0072456F">
        <w:rPr>
          <w:b/>
          <w:bCs/>
        </w:rPr>
        <w:t>This will include the following:</w:t>
      </w:r>
    </w:p>
    <w:p w:rsidR="0060314F" w:rsidRPr="0072456F" w:rsidRDefault="0060314F" w:rsidP="0060314F"/>
    <w:p w:rsidR="0060314F" w:rsidRPr="0072456F" w:rsidRDefault="0060314F" w:rsidP="0060314F">
      <w:r w:rsidRPr="0072456F">
        <w:t>Hour 1: Laying the Foundation: Do We Know What We Don’t Know? (What We Should Know About State and Federal Fair Housing Law and Protected Classes)</w:t>
      </w:r>
    </w:p>
    <w:p w:rsidR="0060314F" w:rsidRPr="0072456F" w:rsidRDefault="0060314F" w:rsidP="0060314F"/>
    <w:p w:rsidR="0060314F" w:rsidRPr="0072456F" w:rsidRDefault="0060314F" w:rsidP="0060314F">
      <w:r w:rsidRPr="0072456F">
        <w:t>Hour 2: A Murderer with a Pitbull: Understanding and Applying Disparate Impact</w:t>
      </w:r>
    </w:p>
    <w:p w:rsidR="0060314F" w:rsidRPr="0072456F" w:rsidRDefault="0060314F" w:rsidP="0060314F"/>
    <w:p w:rsidR="0060314F" w:rsidRPr="0072456F" w:rsidRDefault="0060314F" w:rsidP="0060314F">
      <w:r w:rsidRPr="0072456F">
        <w:t xml:space="preserve">Hour 3: The Question of Emotional Support and Service Animals </w:t>
      </w:r>
    </w:p>
    <w:p w:rsidR="0060314F" w:rsidRPr="0072456F" w:rsidRDefault="0060314F" w:rsidP="0060314F"/>
    <w:p w:rsidR="0060314F" w:rsidRDefault="0060314F" w:rsidP="0060314F">
      <w:pPr>
        <w:rPr>
          <w:sz w:val="40"/>
          <w:szCs w:val="40"/>
        </w:rPr>
      </w:pPr>
      <w:r w:rsidRPr="0072456F">
        <w:t>Hour 4: “Kiss, Bow, Or Shake Hands”: Cultural Diversity and Bias in Real Estate</w:t>
      </w:r>
    </w:p>
    <w:p w:rsidR="0060314F" w:rsidRDefault="0060314F" w:rsidP="00555CB7">
      <w:pPr>
        <w:spacing w:after="160" w:line="259" w:lineRule="auto"/>
        <w:jc w:val="center"/>
      </w:pPr>
    </w:p>
    <w:p w:rsidR="0041029E" w:rsidRPr="00CD4517" w:rsidRDefault="0041029E" w:rsidP="000A6F74">
      <w:pPr>
        <w:pStyle w:val="Heading2"/>
      </w:pPr>
      <w:bookmarkStart w:id="11" w:name="_Toc20256105"/>
      <w:r w:rsidRPr="00CD4517">
        <w:t>Our three Most Important Learning Objectives are:</w:t>
      </w:r>
      <w:bookmarkEnd w:id="11"/>
    </w:p>
    <w:p w:rsidR="0041029E" w:rsidRPr="00555CB7" w:rsidRDefault="0041029E" w:rsidP="0041029E">
      <w:pPr>
        <w:pStyle w:val="ListParagraph"/>
        <w:numPr>
          <w:ilvl w:val="0"/>
          <w:numId w:val="3"/>
        </w:numPr>
      </w:pPr>
      <w:r w:rsidRPr="00555CB7">
        <w:t>To lay the foundation for what we should already know about federally protected classes, as well as Louisiana State and Federal Laws pertaining to Fair Housing</w:t>
      </w:r>
    </w:p>
    <w:p w:rsidR="0041029E" w:rsidRPr="00555CB7" w:rsidRDefault="0041029E" w:rsidP="0041029E"/>
    <w:p w:rsidR="0041029E" w:rsidRPr="00555CB7" w:rsidRDefault="0041029E" w:rsidP="0041029E">
      <w:pPr>
        <w:pStyle w:val="ListParagraph"/>
      </w:pPr>
    </w:p>
    <w:p w:rsidR="0041029E" w:rsidRPr="00555CB7" w:rsidRDefault="0041029E" w:rsidP="0041029E">
      <w:pPr>
        <w:pStyle w:val="ListParagraph"/>
        <w:numPr>
          <w:ilvl w:val="0"/>
          <w:numId w:val="3"/>
        </w:numPr>
      </w:pPr>
      <w:r w:rsidRPr="00555CB7">
        <w:t>Deeply dive into two very often misunderstood fair housing concepts – disparate impact and emotional support and service animals, and how these laws affect property management in real estate.</w:t>
      </w:r>
    </w:p>
    <w:p w:rsidR="0041029E" w:rsidRPr="00555CB7" w:rsidRDefault="0041029E" w:rsidP="0041029E"/>
    <w:p w:rsidR="0041029E" w:rsidRPr="00555CB7" w:rsidRDefault="0041029E" w:rsidP="0041029E"/>
    <w:p w:rsidR="00450868" w:rsidRPr="00BA3E5D" w:rsidRDefault="0041029E" w:rsidP="00016163">
      <w:pPr>
        <w:pStyle w:val="ListParagraph"/>
        <w:numPr>
          <w:ilvl w:val="0"/>
          <w:numId w:val="3"/>
        </w:numPr>
      </w:pPr>
      <w:r w:rsidRPr="00BA3E5D">
        <w:t xml:space="preserve">To have some fun learning about cultural diversity and bias in real estate as it pertains to truly learning to be real estate professionals in every aspect of our professional lives, including learning and implementing </w:t>
      </w:r>
      <w:r w:rsidR="00FC401D" w:rsidRPr="00FC401D">
        <w:t xml:space="preserve">the National Association of REALTORS® </w:t>
      </w:r>
      <w:r w:rsidRPr="00BA3E5D">
        <w:t>Equal Professional Services Model</w:t>
      </w:r>
      <w:r w:rsidR="00FC401D">
        <w:t>.</w:t>
      </w:r>
    </w:p>
    <w:p w:rsidR="00F20209" w:rsidRDefault="00F20209" w:rsidP="00F20209">
      <w:pPr>
        <w:pStyle w:val="LIneDivider"/>
      </w:pPr>
    </w:p>
    <w:p w:rsidR="00884880" w:rsidRDefault="00884880" w:rsidP="00F20209">
      <w:pPr>
        <w:spacing w:after="160" w:line="259" w:lineRule="auto"/>
        <w:jc w:val="center"/>
      </w:pPr>
      <w:r>
        <w:rPr>
          <w:b/>
          <w:bCs/>
          <w:noProof/>
        </w:rPr>
        <w:drawing>
          <wp:anchor distT="0" distB="0" distL="114300" distR="114300" simplePos="0" relativeHeight="251720704" behindDoc="0" locked="0" layoutInCell="1" allowOverlap="1" wp14:anchorId="31FCE135" wp14:editId="194FD7E0">
            <wp:simplePos x="0" y="0"/>
            <wp:positionH relativeFrom="margin">
              <wp:align>center</wp:align>
            </wp:positionH>
            <wp:positionV relativeFrom="paragraph">
              <wp:posOffset>86360</wp:posOffset>
            </wp:positionV>
            <wp:extent cx="4915535" cy="2762250"/>
            <wp:effectExtent l="19050" t="19050" r="18415" b="1905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Slide5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5535" cy="2762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84880" w:rsidRDefault="00884880" w:rsidP="00F20209">
      <w:pPr>
        <w:spacing w:after="160" w:line="259" w:lineRule="auto"/>
        <w:jc w:val="center"/>
      </w:pPr>
    </w:p>
    <w:p w:rsidR="00884880" w:rsidRDefault="00884880" w:rsidP="00F20209">
      <w:pPr>
        <w:spacing w:after="160" w:line="259" w:lineRule="auto"/>
        <w:jc w:val="center"/>
      </w:pPr>
    </w:p>
    <w:p w:rsidR="00884880" w:rsidRDefault="00884880" w:rsidP="00F20209">
      <w:pPr>
        <w:spacing w:after="160" w:line="259" w:lineRule="auto"/>
        <w:jc w:val="center"/>
      </w:pPr>
    </w:p>
    <w:p w:rsidR="00884880" w:rsidRDefault="00884880" w:rsidP="00F20209">
      <w:pPr>
        <w:spacing w:after="160" w:line="259" w:lineRule="auto"/>
        <w:jc w:val="center"/>
      </w:pPr>
    </w:p>
    <w:p w:rsidR="00884880" w:rsidRDefault="00884880" w:rsidP="00F20209">
      <w:pPr>
        <w:spacing w:after="160" w:line="259" w:lineRule="auto"/>
        <w:jc w:val="center"/>
      </w:pPr>
    </w:p>
    <w:p w:rsidR="00884880" w:rsidRDefault="00884880" w:rsidP="00F20209">
      <w:pPr>
        <w:spacing w:after="160" w:line="259" w:lineRule="auto"/>
        <w:jc w:val="center"/>
      </w:pPr>
    </w:p>
    <w:p w:rsidR="00884880" w:rsidRDefault="00884880" w:rsidP="00F20209">
      <w:pPr>
        <w:spacing w:after="160" w:line="259" w:lineRule="auto"/>
        <w:jc w:val="center"/>
      </w:pPr>
    </w:p>
    <w:p w:rsidR="00F20209" w:rsidRDefault="00F20209" w:rsidP="00F20209">
      <w:pPr>
        <w:spacing w:after="160" w:line="259" w:lineRule="auto"/>
      </w:pPr>
    </w:p>
    <w:p w:rsidR="00F20209" w:rsidRDefault="00884880" w:rsidP="00F20209">
      <w:pPr>
        <w:spacing w:after="160" w:line="259" w:lineRule="auto"/>
      </w:pPr>
      <w:r>
        <w:rPr>
          <w:b/>
          <w:bCs/>
          <w:noProof/>
        </w:rPr>
        <w:lastRenderedPageBreak/>
        <w:drawing>
          <wp:anchor distT="0" distB="0" distL="114300" distR="114300" simplePos="0" relativeHeight="251719680" behindDoc="0" locked="0" layoutInCell="1" allowOverlap="1" wp14:anchorId="7D24969B" wp14:editId="5DCBE9E0">
            <wp:simplePos x="0" y="0"/>
            <wp:positionH relativeFrom="column">
              <wp:posOffset>554355</wp:posOffset>
            </wp:positionH>
            <wp:positionV relativeFrom="paragraph">
              <wp:posOffset>19050</wp:posOffset>
            </wp:positionV>
            <wp:extent cx="4486910" cy="2524125"/>
            <wp:effectExtent l="19050" t="19050" r="27940" b="28575"/>
            <wp:wrapThrough wrapText="bothSides">
              <wp:wrapPolygon edited="0">
                <wp:start x="-92" y="-163"/>
                <wp:lineTo x="-92" y="21682"/>
                <wp:lineTo x="21643" y="21682"/>
                <wp:lineTo x="21643" y="-163"/>
                <wp:lineTo x="-92" y="-163"/>
              </wp:wrapPolygon>
            </wp:wrapThrough>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Slide5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6910" cy="25241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20209" w:rsidRDefault="00F20209" w:rsidP="00F20209">
      <w:pPr>
        <w:spacing w:after="160" w:line="259" w:lineRule="auto"/>
      </w:pPr>
    </w:p>
    <w:p w:rsidR="00F20209" w:rsidRDefault="00F20209" w:rsidP="00F20209">
      <w:pPr>
        <w:spacing w:after="160" w:line="259" w:lineRule="auto"/>
      </w:pPr>
    </w:p>
    <w:p w:rsidR="00F20209" w:rsidRDefault="00F20209" w:rsidP="00F20209">
      <w:pPr>
        <w:spacing w:after="160" w:line="259" w:lineRule="auto"/>
      </w:pPr>
    </w:p>
    <w:p w:rsidR="00F20209" w:rsidRDefault="00F20209" w:rsidP="00F20209">
      <w:pPr>
        <w:spacing w:after="160" w:line="259" w:lineRule="auto"/>
      </w:pPr>
    </w:p>
    <w:p w:rsidR="00F20209" w:rsidRDefault="00F20209" w:rsidP="00F20209">
      <w:pPr>
        <w:spacing w:after="160" w:line="259" w:lineRule="auto"/>
      </w:pPr>
    </w:p>
    <w:p w:rsidR="00884880" w:rsidRDefault="00884880" w:rsidP="00F20209">
      <w:pPr>
        <w:spacing w:after="160" w:line="259" w:lineRule="auto"/>
      </w:pPr>
    </w:p>
    <w:p w:rsidR="00884880" w:rsidRDefault="00884880" w:rsidP="00F20209">
      <w:pPr>
        <w:spacing w:after="160" w:line="259" w:lineRule="auto"/>
      </w:pPr>
    </w:p>
    <w:p w:rsidR="00F20209" w:rsidRDefault="00884880" w:rsidP="00F20209">
      <w:pPr>
        <w:spacing w:after="160" w:line="259" w:lineRule="auto"/>
      </w:pPr>
      <w:r>
        <w:rPr>
          <w:noProof/>
        </w:rPr>
        <w:drawing>
          <wp:anchor distT="0" distB="0" distL="114300" distR="114300" simplePos="0" relativeHeight="251724800" behindDoc="0" locked="0" layoutInCell="1" allowOverlap="1" wp14:anchorId="7766BB08" wp14:editId="6F9B0843">
            <wp:simplePos x="0" y="0"/>
            <wp:positionH relativeFrom="column">
              <wp:posOffset>552450</wp:posOffset>
            </wp:positionH>
            <wp:positionV relativeFrom="paragraph">
              <wp:posOffset>67310</wp:posOffset>
            </wp:positionV>
            <wp:extent cx="4494530" cy="2528174"/>
            <wp:effectExtent l="19050" t="19050" r="20320" b="247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 We Know What We Dont Know Course fonts embedded-kahootfu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94530" cy="25281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20209" w:rsidRDefault="00F20209" w:rsidP="00F20209">
      <w:pPr>
        <w:spacing w:after="160" w:line="259" w:lineRule="auto"/>
      </w:pPr>
    </w:p>
    <w:p w:rsidR="00F20209" w:rsidRDefault="00F20209" w:rsidP="00F20209">
      <w:pPr>
        <w:spacing w:after="160" w:line="259" w:lineRule="auto"/>
      </w:pPr>
    </w:p>
    <w:p w:rsidR="00F20209" w:rsidRDefault="00F20209" w:rsidP="00F20209">
      <w:pPr>
        <w:pStyle w:val="PlainText"/>
      </w:pPr>
    </w:p>
    <w:p w:rsidR="00884880" w:rsidRDefault="00884880" w:rsidP="00F20209">
      <w:pPr>
        <w:pStyle w:val="PlainText"/>
      </w:pPr>
    </w:p>
    <w:p w:rsidR="00884880" w:rsidRDefault="00884880" w:rsidP="00F20209">
      <w:pPr>
        <w:pStyle w:val="PlainText"/>
      </w:pPr>
    </w:p>
    <w:p w:rsidR="00884880" w:rsidRDefault="00884880" w:rsidP="00F20209">
      <w:pPr>
        <w:pStyle w:val="PlainText"/>
      </w:pPr>
    </w:p>
    <w:p w:rsidR="00884880" w:rsidRDefault="00884880" w:rsidP="00F20209">
      <w:pPr>
        <w:pStyle w:val="PlainText"/>
      </w:pPr>
    </w:p>
    <w:p w:rsidR="00884880" w:rsidRDefault="00884880" w:rsidP="00F20209">
      <w:pPr>
        <w:pStyle w:val="PlainText"/>
      </w:pPr>
    </w:p>
    <w:p w:rsidR="00884880" w:rsidRDefault="00884880" w:rsidP="00F20209">
      <w:pPr>
        <w:pStyle w:val="PlainText"/>
      </w:pPr>
    </w:p>
    <w:p w:rsidR="00884880" w:rsidRDefault="00884880" w:rsidP="00F20209">
      <w:pPr>
        <w:pStyle w:val="PlainText"/>
      </w:pPr>
    </w:p>
    <w:p w:rsidR="00884880" w:rsidRDefault="00884880" w:rsidP="00F20209">
      <w:pPr>
        <w:pStyle w:val="PlainText"/>
      </w:pPr>
    </w:p>
    <w:p w:rsidR="00884880" w:rsidRDefault="00884880" w:rsidP="00F20209">
      <w:pPr>
        <w:pStyle w:val="PlainText"/>
      </w:pPr>
    </w:p>
    <w:p w:rsidR="00884880" w:rsidRDefault="00884880" w:rsidP="00F20209">
      <w:pPr>
        <w:pStyle w:val="PlainText"/>
      </w:pPr>
    </w:p>
    <w:p w:rsidR="00F20209" w:rsidRDefault="00F20209" w:rsidP="00F20209">
      <w:pPr>
        <w:pStyle w:val="PlainText"/>
      </w:pPr>
      <w:r>
        <w:t xml:space="preserve">This is a fun optional game you can play to begin class. Choose Game 1 or Game 2 for Louisiana trivia. </w:t>
      </w:r>
    </w:p>
    <w:p w:rsidR="00F20209" w:rsidRDefault="00F20209" w:rsidP="00F20209">
      <w:pPr>
        <w:pStyle w:val="PlainText"/>
      </w:pPr>
    </w:p>
    <w:p w:rsidR="00F20209" w:rsidRPr="00884880" w:rsidRDefault="00F20209" w:rsidP="00F20209">
      <w:pPr>
        <w:pStyle w:val="PlainText"/>
        <w:rPr>
          <w:b/>
          <w:bCs/>
        </w:rPr>
      </w:pPr>
      <w:r w:rsidRPr="00884880">
        <w:rPr>
          <w:b/>
          <w:bCs/>
        </w:rPr>
        <w:t>Instructions:</w:t>
      </w:r>
    </w:p>
    <w:p w:rsidR="00F20209" w:rsidRDefault="00F20209" w:rsidP="00F20209">
      <w:pPr>
        <w:pStyle w:val="PlainText"/>
      </w:pPr>
      <w:r>
        <w:t xml:space="preserve">To get the class engaged right from the start and introduce them to Kahoot, you have the choice of two Louisiana trivia games. </w:t>
      </w:r>
    </w:p>
    <w:p w:rsidR="00F20209" w:rsidRDefault="00F20209" w:rsidP="00F20209">
      <w:pPr>
        <w:pStyle w:val="PlainText"/>
      </w:pPr>
    </w:p>
    <w:p w:rsidR="00F20209" w:rsidRDefault="00F20209" w:rsidP="0085409A">
      <w:pPr>
        <w:pStyle w:val="PlainText"/>
        <w:numPr>
          <w:ilvl w:val="0"/>
          <w:numId w:val="19"/>
        </w:numPr>
      </w:pPr>
      <w:r>
        <w:t>Open the game on the screen</w:t>
      </w:r>
    </w:p>
    <w:p w:rsidR="00F20209" w:rsidRDefault="00F20209" w:rsidP="0085409A">
      <w:pPr>
        <w:pStyle w:val="PlainText"/>
        <w:numPr>
          <w:ilvl w:val="0"/>
          <w:numId w:val="19"/>
        </w:numPr>
      </w:pPr>
      <w:r>
        <w:t>NOTE: You will need a strong internet connection to play this game Instruct students to:</w:t>
      </w:r>
    </w:p>
    <w:p w:rsidR="00F20209" w:rsidRDefault="00F20209" w:rsidP="0085409A">
      <w:pPr>
        <w:pStyle w:val="PlainText"/>
        <w:numPr>
          <w:ilvl w:val="0"/>
          <w:numId w:val="19"/>
        </w:numPr>
      </w:pPr>
      <w:r>
        <w:t>Pull out their phones.</w:t>
      </w:r>
    </w:p>
    <w:p w:rsidR="00F20209" w:rsidRDefault="00F20209" w:rsidP="0085409A">
      <w:pPr>
        <w:pStyle w:val="PlainText"/>
        <w:numPr>
          <w:ilvl w:val="0"/>
          <w:numId w:val="19"/>
        </w:numPr>
      </w:pPr>
      <w:r>
        <w:t>Open a browser.</w:t>
      </w:r>
    </w:p>
    <w:p w:rsidR="00F20209" w:rsidRDefault="00F20209" w:rsidP="0085409A">
      <w:pPr>
        <w:pStyle w:val="PlainText"/>
        <w:numPr>
          <w:ilvl w:val="0"/>
          <w:numId w:val="19"/>
        </w:numPr>
      </w:pPr>
      <w:r>
        <w:t>Go to Kahoot.it.</w:t>
      </w:r>
    </w:p>
    <w:p w:rsidR="00F20209" w:rsidRDefault="00F20209" w:rsidP="0085409A">
      <w:pPr>
        <w:pStyle w:val="PlainText"/>
        <w:numPr>
          <w:ilvl w:val="0"/>
          <w:numId w:val="19"/>
        </w:numPr>
      </w:pPr>
      <w:r>
        <w:t>Enter the game password (this will appear on your screen) They can then enter any “nickname” they want to use</w:t>
      </w:r>
    </w:p>
    <w:p w:rsidR="00F20209" w:rsidRDefault="00F20209" w:rsidP="00F20209">
      <w:pPr>
        <w:pStyle w:val="PlainText"/>
      </w:pPr>
    </w:p>
    <w:p w:rsidR="00F20209" w:rsidRDefault="00F20209" w:rsidP="00F20209">
      <w:pPr>
        <w:pStyle w:val="PlainText"/>
      </w:pPr>
      <w:r>
        <w:t>NOTE: Make certain all students who want to play are in and have the “green screen” on their phones BEFORE you press START.</w:t>
      </w:r>
    </w:p>
    <w:p w:rsidR="00F20209" w:rsidRDefault="00F20209" w:rsidP="00F20209">
      <w:pPr>
        <w:pStyle w:val="PlainText"/>
      </w:pPr>
    </w:p>
    <w:p w:rsidR="00884880" w:rsidRDefault="00F20209" w:rsidP="00884880">
      <w:pPr>
        <w:pStyle w:val="PlainText"/>
      </w:pPr>
      <w:r>
        <w:t xml:space="preserve">Instruct students that the game is based on speed and accuracy. Scores will be kept and the Top 5 winners will be shared after each question. </w:t>
      </w:r>
      <w:r w:rsidR="00884880">
        <w:t xml:space="preserve"> PLAY AND HAVE FUN! </w:t>
      </w:r>
    </w:p>
    <w:p w:rsidR="00F20209" w:rsidRDefault="00F20209" w:rsidP="00F20209">
      <w:pPr>
        <w:spacing w:after="160" w:line="259" w:lineRule="auto"/>
      </w:pPr>
    </w:p>
    <w:p w:rsidR="00884880" w:rsidRDefault="00884880" w:rsidP="00555CB7">
      <w:pPr>
        <w:spacing w:after="160" w:line="259" w:lineRule="auto"/>
        <w:jc w:val="center"/>
      </w:pPr>
      <w:r>
        <w:rPr>
          <w:noProof/>
        </w:rPr>
        <w:lastRenderedPageBreak/>
        <w:drawing>
          <wp:anchor distT="0" distB="0" distL="114300" distR="114300" simplePos="0" relativeHeight="251715584" behindDoc="0" locked="0" layoutInCell="1" allowOverlap="1" wp14:anchorId="69589EEE" wp14:editId="4FBBB096">
            <wp:simplePos x="0" y="0"/>
            <wp:positionH relativeFrom="column">
              <wp:posOffset>701675</wp:posOffset>
            </wp:positionH>
            <wp:positionV relativeFrom="paragraph">
              <wp:posOffset>19050</wp:posOffset>
            </wp:positionV>
            <wp:extent cx="4393565" cy="2466975"/>
            <wp:effectExtent l="19050" t="19050" r="26035" b="285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93565" cy="2466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84880" w:rsidRDefault="00884880" w:rsidP="00884880">
      <w:pPr>
        <w:spacing w:after="160" w:line="259" w:lineRule="auto"/>
      </w:pPr>
    </w:p>
    <w:p w:rsidR="00884880" w:rsidRDefault="00884880" w:rsidP="00884880">
      <w:pPr>
        <w:spacing w:after="160" w:line="259" w:lineRule="auto"/>
      </w:pPr>
    </w:p>
    <w:p w:rsidR="00884880" w:rsidRDefault="00884880" w:rsidP="00555CB7">
      <w:pPr>
        <w:spacing w:after="160" w:line="259" w:lineRule="auto"/>
        <w:jc w:val="center"/>
      </w:pPr>
    </w:p>
    <w:p w:rsidR="00884880" w:rsidRDefault="00884880" w:rsidP="00555CB7">
      <w:pPr>
        <w:spacing w:after="160" w:line="259" w:lineRule="auto"/>
        <w:jc w:val="center"/>
      </w:pPr>
    </w:p>
    <w:p w:rsidR="00016163" w:rsidRDefault="00016163" w:rsidP="00555CB7">
      <w:pPr>
        <w:spacing w:after="160" w:line="259" w:lineRule="auto"/>
        <w:jc w:val="center"/>
      </w:pPr>
    </w:p>
    <w:p w:rsidR="00884880" w:rsidRDefault="00884880" w:rsidP="00555CB7">
      <w:pPr>
        <w:spacing w:after="160" w:line="259" w:lineRule="auto"/>
        <w:jc w:val="center"/>
      </w:pPr>
    </w:p>
    <w:p w:rsidR="00884880" w:rsidRDefault="00884880" w:rsidP="00555CB7">
      <w:pPr>
        <w:spacing w:after="160" w:line="259" w:lineRule="auto"/>
        <w:jc w:val="center"/>
      </w:pPr>
    </w:p>
    <w:p w:rsidR="00DD610B" w:rsidRPr="00555CB7" w:rsidRDefault="00DD610B" w:rsidP="00ED3CD4">
      <w:pPr>
        <w:spacing w:after="160" w:line="259" w:lineRule="auto"/>
      </w:pPr>
    </w:p>
    <w:p w:rsidR="00016163" w:rsidRPr="006C6F30" w:rsidRDefault="00016163" w:rsidP="000A6F74">
      <w:pPr>
        <w:pStyle w:val="Heading2"/>
      </w:pPr>
      <w:bookmarkStart w:id="12" w:name="_Toc20256106"/>
      <w:r w:rsidRPr="007440B7">
        <w:t>PART</w:t>
      </w:r>
      <w:r w:rsidRPr="00F72FCC">
        <w:t xml:space="preserve"> 1: Laying the Foundation</w:t>
      </w:r>
      <w:r w:rsidR="006C6F30">
        <w:t xml:space="preserve"> | </w:t>
      </w:r>
      <w:r w:rsidRPr="00CD4517">
        <w:t>Introduction and Course Overview</w:t>
      </w:r>
      <w:bookmarkEnd w:id="12"/>
    </w:p>
    <w:p w:rsidR="006C6F30" w:rsidRDefault="006C6F30" w:rsidP="006C6F30">
      <w:pPr>
        <w:pStyle w:val="Heading3"/>
      </w:pPr>
      <w:bookmarkStart w:id="13" w:name="_Toc20256107"/>
      <w:r>
        <w:t>Why Do We Need to Know This?</w:t>
      </w:r>
      <w:bookmarkEnd w:id="13"/>
      <w:r>
        <w:t xml:space="preserve"> </w:t>
      </w:r>
    </w:p>
    <w:p w:rsidR="006C6F30" w:rsidRDefault="006C6F30" w:rsidP="006C6F30">
      <w:pPr>
        <w:pStyle w:val="PlainText"/>
      </w:pPr>
    </w:p>
    <w:p w:rsidR="00ED3CD4" w:rsidRDefault="00ED3CD4" w:rsidP="00ED3CD4">
      <w:pPr>
        <w:pStyle w:val="PlainText"/>
        <w:jc w:val="center"/>
      </w:pPr>
      <w:r>
        <w:rPr>
          <w:noProof/>
        </w:rPr>
        <w:drawing>
          <wp:inline distT="0" distB="0" distL="0" distR="0" wp14:anchorId="08C99AAA" wp14:editId="5C1BDFD0">
            <wp:extent cx="5158773" cy="2901809"/>
            <wp:effectExtent l="19050" t="19050" r="22860" b="1333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Slide4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58773" cy="2901809"/>
                    </a:xfrm>
                    <a:prstGeom prst="rect">
                      <a:avLst/>
                    </a:prstGeom>
                    <a:ln>
                      <a:solidFill>
                        <a:schemeClr val="tx1"/>
                      </a:solidFill>
                    </a:ln>
                  </pic:spPr>
                </pic:pic>
              </a:graphicData>
            </a:graphic>
          </wp:inline>
        </w:drawing>
      </w:r>
    </w:p>
    <w:p w:rsidR="00ED3CD4" w:rsidRDefault="00ED3CD4" w:rsidP="006C6F30">
      <w:pPr>
        <w:pStyle w:val="PlainText"/>
      </w:pPr>
      <w:r>
        <w:rPr>
          <w:noProof/>
        </w:rPr>
        <w:drawing>
          <wp:anchor distT="0" distB="0" distL="114300" distR="114300" simplePos="0" relativeHeight="251736064" behindDoc="0" locked="0" layoutInCell="1" allowOverlap="1" wp14:anchorId="14B2D3DA" wp14:editId="2279672A">
            <wp:simplePos x="0" y="0"/>
            <wp:positionH relativeFrom="column">
              <wp:posOffset>1085850</wp:posOffset>
            </wp:positionH>
            <wp:positionV relativeFrom="paragraph">
              <wp:posOffset>165100</wp:posOffset>
            </wp:positionV>
            <wp:extent cx="3691650" cy="2074545"/>
            <wp:effectExtent l="19050" t="19050" r="23495" b="209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91650" cy="20745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D3CD4" w:rsidRDefault="00ED3CD4" w:rsidP="006C6F30">
      <w:pPr>
        <w:pStyle w:val="PlainText"/>
      </w:pPr>
    </w:p>
    <w:p w:rsidR="00ED3CD4" w:rsidRDefault="00ED3CD4" w:rsidP="006C6F30">
      <w:pPr>
        <w:pStyle w:val="PlainText"/>
      </w:pPr>
    </w:p>
    <w:p w:rsidR="00ED3CD4" w:rsidRDefault="00ED3CD4" w:rsidP="006C6F30">
      <w:pPr>
        <w:pStyle w:val="PlainText"/>
      </w:pPr>
    </w:p>
    <w:p w:rsidR="00ED3CD4" w:rsidRDefault="00ED3CD4" w:rsidP="006C6F30">
      <w:pPr>
        <w:pStyle w:val="PlainText"/>
      </w:pPr>
    </w:p>
    <w:p w:rsidR="00ED3CD4" w:rsidRDefault="00ED3CD4" w:rsidP="006C6F30">
      <w:pPr>
        <w:pStyle w:val="PlainText"/>
      </w:pPr>
    </w:p>
    <w:p w:rsidR="00ED3CD4" w:rsidRDefault="00ED3CD4" w:rsidP="006C6F30">
      <w:pPr>
        <w:pStyle w:val="PlainText"/>
      </w:pPr>
    </w:p>
    <w:p w:rsidR="00ED3CD4" w:rsidRDefault="00ED3CD4" w:rsidP="006C6F30">
      <w:pPr>
        <w:pStyle w:val="PlainText"/>
      </w:pPr>
    </w:p>
    <w:p w:rsidR="00ED3CD4" w:rsidRDefault="00ED3CD4" w:rsidP="006C6F30">
      <w:pPr>
        <w:pStyle w:val="PlainText"/>
      </w:pPr>
    </w:p>
    <w:p w:rsidR="00ED3CD4" w:rsidRDefault="00ED3CD4" w:rsidP="006C6F30">
      <w:pPr>
        <w:pStyle w:val="PlainText"/>
      </w:pPr>
    </w:p>
    <w:p w:rsidR="00ED3CD4" w:rsidRDefault="00ED3CD4" w:rsidP="006C6F30">
      <w:pPr>
        <w:pStyle w:val="PlainText"/>
      </w:pPr>
    </w:p>
    <w:p w:rsidR="00ED3CD4" w:rsidRDefault="00ED3CD4" w:rsidP="006C6F30">
      <w:pPr>
        <w:pStyle w:val="PlainText"/>
      </w:pPr>
    </w:p>
    <w:p w:rsidR="00BA3E5D" w:rsidRDefault="00B91B6D" w:rsidP="00BA3E5D">
      <w:pPr>
        <w:pStyle w:val="PlainText"/>
        <w:jc w:val="both"/>
      </w:pPr>
      <w:r>
        <w:rPr>
          <w:noProof/>
        </w:rPr>
        <w:lastRenderedPageBreak/>
        <w:drawing>
          <wp:anchor distT="0" distB="0" distL="114300" distR="114300" simplePos="0" relativeHeight="251737088" behindDoc="0" locked="0" layoutInCell="1" allowOverlap="1" wp14:anchorId="56E8F362" wp14:editId="4E9E3ED5">
            <wp:simplePos x="0" y="0"/>
            <wp:positionH relativeFrom="column">
              <wp:posOffset>1857375</wp:posOffset>
            </wp:positionH>
            <wp:positionV relativeFrom="paragraph">
              <wp:posOffset>19050</wp:posOffset>
            </wp:positionV>
            <wp:extent cx="4200525" cy="2359660"/>
            <wp:effectExtent l="19050" t="19050" r="28575" b="215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00525" cy="2359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C6F30">
        <w:t xml:space="preserve">Too often, we believe we know something, when in fact, our knowledge base in incomplete or worse - it is wrong. </w:t>
      </w:r>
    </w:p>
    <w:p w:rsidR="00BA3E5D" w:rsidRDefault="00BA3E5D" w:rsidP="00BA3E5D">
      <w:pPr>
        <w:pStyle w:val="PlainText"/>
        <w:jc w:val="both"/>
      </w:pPr>
    </w:p>
    <w:p w:rsidR="006C6F30" w:rsidRDefault="006C6F30" w:rsidP="00BA3E5D">
      <w:pPr>
        <w:pStyle w:val="PlainText"/>
        <w:jc w:val="both"/>
      </w:pPr>
      <w:r>
        <w:t xml:space="preserve">When it comes to fair housing law, if we do not fully and completely understand these important laws, how can we possibly hope to champion our buyer and seller clients at the highest level. </w:t>
      </w:r>
    </w:p>
    <w:p w:rsidR="006C6F30" w:rsidRDefault="006C6F30" w:rsidP="006C6F30">
      <w:pPr>
        <w:pStyle w:val="PlainText"/>
      </w:pPr>
    </w:p>
    <w:p w:rsidR="006C6F30" w:rsidRDefault="006C6F30" w:rsidP="006C6F30">
      <w:pPr>
        <w:pStyle w:val="PlainText"/>
      </w:pPr>
      <w:r>
        <w:t>The penalties for violating understanding fair housing law are:</w:t>
      </w:r>
    </w:p>
    <w:p w:rsidR="006C6F30" w:rsidRDefault="006C6F30" w:rsidP="006C6F30">
      <w:pPr>
        <w:pStyle w:val="PlainText"/>
      </w:pPr>
    </w:p>
    <w:p w:rsidR="006C6F30" w:rsidRDefault="006C6F30" w:rsidP="0085409A">
      <w:pPr>
        <w:pStyle w:val="PlainText"/>
        <w:numPr>
          <w:ilvl w:val="0"/>
          <w:numId w:val="40"/>
        </w:numPr>
      </w:pPr>
      <w:r>
        <w:t>Steep financial penalties</w:t>
      </w:r>
    </w:p>
    <w:p w:rsidR="006C6F30" w:rsidRDefault="006C6F30" w:rsidP="0085409A">
      <w:pPr>
        <w:pStyle w:val="PlainText"/>
        <w:numPr>
          <w:ilvl w:val="0"/>
          <w:numId w:val="40"/>
        </w:numPr>
      </w:pPr>
      <w:r>
        <w:t>Bad publicity</w:t>
      </w:r>
    </w:p>
    <w:p w:rsidR="006C6F30" w:rsidRDefault="006C6F30" w:rsidP="0085409A">
      <w:pPr>
        <w:pStyle w:val="PlainText"/>
        <w:numPr>
          <w:ilvl w:val="0"/>
          <w:numId w:val="40"/>
        </w:numPr>
      </w:pPr>
      <w:r>
        <w:t>Loss of reputation - for us as licensees, as well as for our brokerage Bad news travels fast.</w:t>
      </w:r>
    </w:p>
    <w:p w:rsidR="006C6F30" w:rsidRDefault="006C6F30" w:rsidP="006C6F30">
      <w:pPr>
        <w:pStyle w:val="PlainText"/>
      </w:pPr>
    </w:p>
    <w:p w:rsidR="006C6F30" w:rsidRDefault="006C6F30" w:rsidP="006C6F30">
      <w:pPr>
        <w:pStyle w:val="PlainText"/>
      </w:pPr>
      <w:r>
        <w:t>In the highly litigious and social media connected world in which we live, we cannot afford to make mistakes when it comes to fair housing law.</w:t>
      </w:r>
    </w:p>
    <w:p w:rsidR="006C6F30" w:rsidRDefault="006C6F30" w:rsidP="006C6F30">
      <w:pPr>
        <w:pStyle w:val="PlainText"/>
      </w:pPr>
    </w:p>
    <w:p w:rsidR="006C6F30" w:rsidRDefault="006C6F30" w:rsidP="006C6F30">
      <w:pPr>
        <w:pStyle w:val="PlainText"/>
      </w:pPr>
      <w:r>
        <w:t>We need to make certain that what we know is accurate. In addition, we need to make certain our knowledge base is complete.</w:t>
      </w:r>
    </w:p>
    <w:p w:rsidR="006C6F30" w:rsidRDefault="006C6F30" w:rsidP="006C6F30">
      <w:pPr>
        <w:pStyle w:val="PlainText"/>
      </w:pPr>
    </w:p>
    <w:p w:rsidR="006C6F30" w:rsidRDefault="006C6F30" w:rsidP="006C6F30">
      <w:pPr>
        <w:pStyle w:val="PlainText"/>
      </w:pPr>
      <w:r>
        <w:t xml:space="preserve">Let’s find out what we know!  </w:t>
      </w:r>
    </w:p>
    <w:p w:rsidR="006C6F30" w:rsidRDefault="006C6F30" w:rsidP="006C6F30">
      <w:pPr>
        <w:pStyle w:val="PlainText"/>
      </w:pPr>
    </w:p>
    <w:p w:rsidR="006C6F30" w:rsidRDefault="006C6F30" w:rsidP="006C6F30">
      <w:pPr>
        <w:pStyle w:val="PlainText"/>
      </w:pPr>
    </w:p>
    <w:p w:rsidR="006C6F30" w:rsidRDefault="006C6F30" w:rsidP="00FC1096"/>
    <w:p w:rsidR="006C6F30" w:rsidRDefault="00B91B6D" w:rsidP="00FC1096">
      <w:r>
        <w:rPr>
          <w:noProof/>
        </w:rPr>
        <w:drawing>
          <wp:anchor distT="0" distB="0" distL="114300" distR="114300" simplePos="0" relativeHeight="251712512" behindDoc="0" locked="0" layoutInCell="1" allowOverlap="1" wp14:anchorId="4338E665" wp14:editId="55D297F4">
            <wp:simplePos x="0" y="0"/>
            <wp:positionH relativeFrom="column">
              <wp:posOffset>638175</wp:posOffset>
            </wp:positionH>
            <wp:positionV relativeFrom="paragraph">
              <wp:posOffset>31115</wp:posOffset>
            </wp:positionV>
            <wp:extent cx="4966970" cy="2790924"/>
            <wp:effectExtent l="19050" t="19050" r="24130"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6970" cy="279092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6C6F30" w:rsidRDefault="006C6F30" w:rsidP="00FC1096"/>
    <w:p w:rsidR="006C6F30" w:rsidRDefault="006C6F30" w:rsidP="00FC1096"/>
    <w:p w:rsidR="00884880" w:rsidRDefault="00884880" w:rsidP="00FC1096"/>
    <w:p w:rsidR="00884880" w:rsidRDefault="00884880" w:rsidP="00FC1096"/>
    <w:p w:rsidR="00884880" w:rsidRDefault="00884880" w:rsidP="00FC1096"/>
    <w:p w:rsidR="00884880" w:rsidRDefault="00884880" w:rsidP="00FC1096"/>
    <w:p w:rsidR="00884880" w:rsidRDefault="00884880" w:rsidP="00FC1096"/>
    <w:p w:rsidR="00884880" w:rsidRDefault="00884880" w:rsidP="00FC1096"/>
    <w:p w:rsidR="00FC1096" w:rsidRDefault="00FC1096" w:rsidP="00FC1096">
      <w:pPr>
        <w:rPr>
          <w:noProof/>
        </w:rPr>
      </w:pPr>
    </w:p>
    <w:p w:rsidR="00FC1096" w:rsidRDefault="00FC1096" w:rsidP="00FC1096">
      <w:pPr>
        <w:rPr>
          <w:noProof/>
        </w:rPr>
      </w:pPr>
    </w:p>
    <w:p w:rsidR="00FC1096" w:rsidRDefault="00FC1096" w:rsidP="00FC1096">
      <w:pPr>
        <w:rPr>
          <w:noProof/>
        </w:rPr>
      </w:pPr>
    </w:p>
    <w:p w:rsidR="00FC1096" w:rsidRDefault="00FC1096" w:rsidP="00FC1096">
      <w:pPr>
        <w:rPr>
          <w:noProof/>
        </w:rPr>
      </w:pPr>
    </w:p>
    <w:p w:rsidR="00FC1096" w:rsidRDefault="00FC1096" w:rsidP="00FC1096">
      <w:pPr>
        <w:rPr>
          <w:noProof/>
        </w:rPr>
      </w:pPr>
    </w:p>
    <w:p w:rsidR="00884880" w:rsidRDefault="00884880" w:rsidP="00FC1096">
      <w:pPr>
        <w:rPr>
          <w:noProof/>
        </w:rPr>
      </w:pPr>
    </w:p>
    <w:p w:rsidR="00884880" w:rsidRDefault="00884880" w:rsidP="00FC1096"/>
    <w:p w:rsidR="00884880" w:rsidRDefault="00884880" w:rsidP="00FC1096"/>
    <w:p w:rsidR="00884880" w:rsidRDefault="00884880" w:rsidP="00FC1096"/>
    <w:p w:rsidR="00884880" w:rsidRDefault="00884880" w:rsidP="00FC1096"/>
    <w:p w:rsidR="00884880" w:rsidRDefault="00ED3CD4" w:rsidP="00FC1096">
      <w:r>
        <w:rPr>
          <w:noProof/>
        </w:rPr>
        <w:drawing>
          <wp:anchor distT="0" distB="0" distL="114300" distR="114300" simplePos="0" relativeHeight="251716608" behindDoc="1" locked="0" layoutInCell="1" allowOverlap="1" wp14:anchorId="457072A1" wp14:editId="73296E64">
            <wp:simplePos x="0" y="0"/>
            <wp:positionH relativeFrom="column">
              <wp:posOffset>466725</wp:posOffset>
            </wp:positionH>
            <wp:positionV relativeFrom="paragraph">
              <wp:posOffset>19050</wp:posOffset>
            </wp:positionV>
            <wp:extent cx="4966970" cy="2790825"/>
            <wp:effectExtent l="19050" t="19050" r="24130" b="28575"/>
            <wp:wrapTight wrapText="bothSides">
              <wp:wrapPolygon edited="0">
                <wp:start x="-83" y="-147"/>
                <wp:lineTo x="-83" y="21674"/>
                <wp:lineTo x="21622" y="21674"/>
                <wp:lineTo x="21622" y="-147"/>
                <wp:lineTo x="-83" y="-14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66970" cy="27908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884880" w:rsidRDefault="00884880" w:rsidP="00FC1096"/>
    <w:p w:rsidR="00884880" w:rsidRDefault="00884880" w:rsidP="00FC1096"/>
    <w:p w:rsidR="00884880" w:rsidRDefault="00884880" w:rsidP="00FC1096"/>
    <w:p w:rsidR="00884880" w:rsidRDefault="00884880" w:rsidP="00FC1096"/>
    <w:p w:rsidR="00FC1096" w:rsidRPr="00FC1096" w:rsidRDefault="00FC1096" w:rsidP="00FC1096"/>
    <w:p w:rsidR="00884880" w:rsidRDefault="00884880" w:rsidP="00FC1096"/>
    <w:p w:rsidR="00884880" w:rsidRDefault="00884880" w:rsidP="006C6F30">
      <w:pPr>
        <w:pStyle w:val="Heading3"/>
      </w:pPr>
    </w:p>
    <w:p w:rsidR="00884880" w:rsidRDefault="00884880" w:rsidP="006C6F30">
      <w:pPr>
        <w:pStyle w:val="Heading3"/>
      </w:pPr>
    </w:p>
    <w:p w:rsidR="00884880" w:rsidRDefault="00884880" w:rsidP="006C6F30">
      <w:pPr>
        <w:pStyle w:val="Heading3"/>
      </w:pPr>
    </w:p>
    <w:p w:rsidR="00884880" w:rsidRDefault="00884880" w:rsidP="006C6F30">
      <w:pPr>
        <w:pStyle w:val="Heading3"/>
      </w:pPr>
    </w:p>
    <w:p w:rsidR="00884880" w:rsidRDefault="00884880" w:rsidP="006C6F30">
      <w:pPr>
        <w:pStyle w:val="Heading3"/>
      </w:pPr>
    </w:p>
    <w:p w:rsidR="00FC1096" w:rsidRDefault="00FC1096" w:rsidP="006C6F30">
      <w:pPr>
        <w:pStyle w:val="Heading3"/>
      </w:pPr>
    </w:p>
    <w:p w:rsidR="00FC1096" w:rsidRDefault="00FC1096" w:rsidP="006C6F30">
      <w:pPr>
        <w:pStyle w:val="Heading3"/>
      </w:pPr>
    </w:p>
    <w:p w:rsidR="006C6F30" w:rsidRDefault="006C6F30" w:rsidP="006C6F30">
      <w:pPr>
        <w:pStyle w:val="Heading3"/>
      </w:pPr>
      <w:bookmarkStart w:id="14" w:name="_Toc20256108"/>
      <w:r>
        <w:t>Fair</w:t>
      </w:r>
      <w:r w:rsidR="00FC1096">
        <w:t xml:space="preserve"> </w:t>
      </w:r>
      <w:r>
        <w:t>Housing Quiz</w:t>
      </w:r>
      <w:bookmarkEnd w:id="14"/>
    </w:p>
    <w:p w:rsidR="006C6F30" w:rsidRDefault="00884880" w:rsidP="006C6F30">
      <w:pPr>
        <w:pStyle w:val="PlainText"/>
      </w:pPr>
      <w:r>
        <w:rPr>
          <w:noProof/>
        </w:rPr>
        <w:drawing>
          <wp:anchor distT="0" distB="0" distL="114300" distR="114300" simplePos="0" relativeHeight="251717632" behindDoc="1" locked="0" layoutInCell="1" allowOverlap="1" wp14:anchorId="1131B97C" wp14:editId="57DF0C6A">
            <wp:simplePos x="0" y="0"/>
            <wp:positionH relativeFrom="column">
              <wp:posOffset>2590800</wp:posOffset>
            </wp:positionH>
            <wp:positionV relativeFrom="paragraph">
              <wp:posOffset>88265</wp:posOffset>
            </wp:positionV>
            <wp:extent cx="3497580" cy="1964055"/>
            <wp:effectExtent l="19050" t="19050" r="26670" b="17145"/>
            <wp:wrapTight wrapText="bothSides">
              <wp:wrapPolygon edited="0">
                <wp:start x="-118" y="-210"/>
                <wp:lineTo x="-118" y="21579"/>
                <wp:lineTo x="21647" y="21579"/>
                <wp:lineTo x="21647" y="-210"/>
                <wp:lineTo x="-118" y="-21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97580" cy="1964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20209" w:rsidRDefault="006C6F30" w:rsidP="006C6F30">
      <w:pPr>
        <w:pStyle w:val="PlainText"/>
      </w:pPr>
      <w:r>
        <w:t xml:space="preserve">Note to Instructors: This can be given as a written quiz to each student, or this can be done as a Kahoot game. </w:t>
      </w:r>
    </w:p>
    <w:p w:rsidR="00F24441" w:rsidRPr="003B5E41" w:rsidRDefault="00F24441" w:rsidP="00FC40B9">
      <w:pPr>
        <w:jc w:val="center"/>
      </w:pPr>
    </w:p>
    <w:p w:rsidR="00F24441" w:rsidRPr="00F72FCC" w:rsidRDefault="00F24441" w:rsidP="0085409A">
      <w:pPr>
        <w:pStyle w:val="ListParagraph"/>
        <w:numPr>
          <w:ilvl w:val="0"/>
          <w:numId w:val="4"/>
        </w:numPr>
      </w:pPr>
      <w:r w:rsidRPr="00F72FCC">
        <w:t>There are ______ Federally Protected Classes:</w:t>
      </w:r>
    </w:p>
    <w:p w:rsidR="00F24441" w:rsidRPr="00F72FCC" w:rsidRDefault="00F24441" w:rsidP="0085409A">
      <w:pPr>
        <w:pStyle w:val="ListParagraph"/>
        <w:numPr>
          <w:ilvl w:val="1"/>
          <w:numId w:val="4"/>
        </w:numPr>
      </w:pPr>
      <w:r w:rsidRPr="00F72FCC">
        <w:t>5</w:t>
      </w:r>
    </w:p>
    <w:p w:rsidR="00F24441" w:rsidRPr="00F72FCC" w:rsidRDefault="00F24441" w:rsidP="0085409A">
      <w:pPr>
        <w:pStyle w:val="ListParagraph"/>
        <w:numPr>
          <w:ilvl w:val="1"/>
          <w:numId w:val="4"/>
        </w:numPr>
      </w:pPr>
      <w:r w:rsidRPr="00F72FCC">
        <w:t>6</w:t>
      </w:r>
    </w:p>
    <w:p w:rsidR="00F24441" w:rsidRPr="00F72FCC" w:rsidRDefault="00F24441" w:rsidP="0085409A">
      <w:pPr>
        <w:pStyle w:val="ListParagraph"/>
        <w:numPr>
          <w:ilvl w:val="1"/>
          <w:numId w:val="4"/>
        </w:numPr>
      </w:pPr>
      <w:r w:rsidRPr="00F72FCC">
        <w:t xml:space="preserve">7 </w:t>
      </w:r>
    </w:p>
    <w:p w:rsidR="00F24441" w:rsidRPr="00F72FCC" w:rsidRDefault="00F24441" w:rsidP="0085409A">
      <w:pPr>
        <w:pStyle w:val="ListParagraph"/>
        <w:numPr>
          <w:ilvl w:val="1"/>
          <w:numId w:val="4"/>
        </w:numPr>
      </w:pPr>
      <w:r w:rsidRPr="00F72FCC">
        <w:t>8</w:t>
      </w:r>
    </w:p>
    <w:p w:rsidR="00FC40B9" w:rsidRDefault="00FC40B9" w:rsidP="00FC40B9">
      <w:pPr>
        <w:pStyle w:val="ListParagraph"/>
      </w:pPr>
    </w:p>
    <w:p w:rsidR="00F24441" w:rsidRPr="00F72FCC" w:rsidRDefault="00F24441" w:rsidP="0085409A">
      <w:pPr>
        <w:pStyle w:val="ListParagraph"/>
        <w:numPr>
          <w:ilvl w:val="0"/>
          <w:numId w:val="4"/>
        </w:numPr>
      </w:pPr>
      <w:r w:rsidRPr="00F72FCC">
        <w:t>The Fair Housing Act was established in:</w:t>
      </w:r>
    </w:p>
    <w:p w:rsidR="00F24441" w:rsidRPr="00F72FCC" w:rsidRDefault="00884880" w:rsidP="0085409A">
      <w:pPr>
        <w:pStyle w:val="ListParagraph"/>
        <w:numPr>
          <w:ilvl w:val="1"/>
          <w:numId w:val="4"/>
        </w:numPr>
      </w:pPr>
      <w:r>
        <w:rPr>
          <w:noProof/>
        </w:rPr>
        <w:drawing>
          <wp:anchor distT="0" distB="0" distL="114300" distR="114300" simplePos="0" relativeHeight="251726848" behindDoc="0" locked="0" layoutInCell="1" allowOverlap="1" wp14:anchorId="226139A7" wp14:editId="2255F64B">
            <wp:simplePos x="0" y="0"/>
            <wp:positionH relativeFrom="column">
              <wp:posOffset>2603500</wp:posOffset>
            </wp:positionH>
            <wp:positionV relativeFrom="paragraph">
              <wp:posOffset>151130</wp:posOffset>
            </wp:positionV>
            <wp:extent cx="3488055" cy="1962150"/>
            <wp:effectExtent l="19050" t="19050" r="17145" b="190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de1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8055" cy="1962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24441" w:rsidRPr="00F72FCC">
        <w:t xml:space="preserve">1968 </w:t>
      </w:r>
    </w:p>
    <w:p w:rsidR="00F24441" w:rsidRPr="00F72FCC" w:rsidRDefault="00F24441" w:rsidP="0085409A">
      <w:pPr>
        <w:pStyle w:val="ListParagraph"/>
        <w:numPr>
          <w:ilvl w:val="1"/>
          <w:numId w:val="4"/>
        </w:numPr>
      </w:pPr>
      <w:r w:rsidRPr="00F72FCC">
        <w:t>1986</w:t>
      </w:r>
    </w:p>
    <w:p w:rsidR="00F24441" w:rsidRPr="00F72FCC" w:rsidRDefault="00F24441" w:rsidP="0085409A">
      <w:pPr>
        <w:pStyle w:val="ListParagraph"/>
        <w:numPr>
          <w:ilvl w:val="1"/>
          <w:numId w:val="4"/>
        </w:numPr>
      </w:pPr>
      <w:r w:rsidRPr="00F72FCC">
        <w:t>1990</w:t>
      </w:r>
    </w:p>
    <w:p w:rsidR="00F24441" w:rsidRPr="00F72FCC" w:rsidRDefault="00F24441" w:rsidP="0085409A">
      <w:pPr>
        <w:pStyle w:val="ListParagraph"/>
        <w:numPr>
          <w:ilvl w:val="1"/>
          <w:numId w:val="4"/>
        </w:numPr>
      </w:pPr>
      <w:r w:rsidRPr="00F72FCC">
        <w:t>1996</w:t>
      </w:r>
    </w:p>
    <w:p w:rsidR="00FC40B9" w:rsidRDefault="00FC40B9" w:rsidP="00FC40B9">
      <w:pPr>
        <w:pStyle w:val="ListParagraph"/>
      </w:pPr>
    </w:p>
    <w:p w:rsidR="00F24441" w:rsidRPr="00F72FCC" w:rsidRDefault="00F24441" w:rsidP="0085409A">
      <w:pPr>
        <w:pStyle w:val="ListParagraph"/>
        <w:numPr>
          <w:ilvl w:val="0"/>
          <w:numId w:val="4"/>
        </w:numPr>
      </w:pPr>
      <w:r w:rsidRPr="00F72FCC">
        <w:t>The National Association of REALTORS® Code of Ethics addresses Fair Housing in:</w:t>
      </w:r>
    </w:p>
    <w:p w:rsidR="00F24441" w:rsidRPr="00F72FCC" w:rsidRDefault="00F24441" w:rsidP="0085409A">
      <w:pPr>
        <w:pStyle w:val="ListParagraph"/>
        <w:numPr>
          <w:ilvl w:val="1"/>
          <w:numId w:val="4"/>
        </w:numPr>
      </w:pPr>
      <w:r w:rsidRPr="00F72FCC">
        <w:t>Article V</w:t>
      </w:r>
    </w:p>
    <w:p w:rsidR="00F24441" w:rsidRPr="00F72FCC" w:rsidRDefault="00F24441" w:rsidP="0085409A">
      <w:pPr>
        <w:pStyle w:val="ListParagraph"/>
        <w:numPr>
          <w:ilvl w:val="1"/>
          <w:numId w:val="4"/>
        </w:numPr>
      </w:pPr>
      <w:r w:rsidRPr="00F72FCC">
        <w:t>Article VII</w:t>
      </w:r>
    </w:p>
    <w:p w:rsidR="00F24441" w:rsidRPr="00F72FCC" w:rsidRDefault="00F24441" w:rsidP="0085409A">
      <w:pPr>
        <w:pStyle w:val="ListParagraph"/>
        <w:numPr>
          <w:ilvl w:val="1"/>
          <w:numId w:val="4"/>
        </w:numPr>
      </w:pPr>
      <w:r w:rsidRPr="00F72FCC">
        <w:t xml:space="preserve">Article X </w:t>
      </w:r>
    </w:p>
    <w:p w:rsidR="00F24441" w:rsidRPr="00F72FCC" w:rsidRDefault="00F24441" w:rsidP="0085409A">
      <w:pPr>
        <w:pStyle w:val="ListParagraph"/>
        <w:numPr>
          <w:ilvl w:val="1"/>
          <w:numId w:val="4"/>
        </w:numPr>
      </w:pPr>
      <w:r w:rsidRPr="00F72FCC">
        <w:t>Article XII</w:t>
      </w:r>
    </w:p>
    <w:p w:rsidR="00FC40B9" w:rsidRDefault="00FC40B9" w:rsidP="00FC40B9">
      <w:pPr>
        <w:pStyle w:val="ListParagraph"/>
      </w:pPr>
    </w:p>
    <w:p w:rsidR="00B91B6D" w:rsidRDefault="00B91B6D" w:rsidP="00FC40B9">
      <w:pPr>
        <w:pStyle w:val="ListParagraph"/>
      </w:pPr>
    </w:p>
    <w:p w:rsidR="00B91B6D" w:rsidRDefault="00B91B6D" w:rsidP="00FC40B9">
      <w:pPr>
        <w:pStyle w:val="ListParagraph"/>
      </w:pPr>
    </w:p>
    <w:p w:rsidR="00F24441" w:rsidRPr="00F72FCC" w:rsidRDefault="00F24441" w:rsidP="0085409A">
      <w:pPr>
        <w:pStyle w:val="ListParagraph"/>
        <w:numPr>
          <w:ilvl w:val="0"/>
          <w:numId w:val="4"/>
        </w:numPr>
      </w:pPr>
      <w:r w:rsidRPr="00F72FCC">
        <w:lastRenderedPageBreak/>
        <w:t>As real estate professionals, the most important part of diversity is:</w:t>
      </w:r>
    </w:p>
    <w:p w:rsidR="00F24441" w:rsidRPr="00F72FCC" w:rsidRDefault="00F24441" w:rsidP="0085409A">
      <w:pPr>
        <w:pStyle w:val="ListParagraph"/>
        <w:numPr>
          <w:ilvl w:val="1"/>
          <w:numId w:val="4"/>
        </w:numPr>
      </w:pPr>
      <w:r w:rsidRPr="00F72FCC">
        <w:t>Understanding that people would rather be with people who are “like” them</w:t>
      </w:r>
    </w:p>
    <w:p w:rsidR="00F24441" w:rsidRPr="00F72FCC" w:rsidRDefault="00F24441" w:rsidP="0085409A">
      <w:pPr>
        <w:pStyle w:val="ListParagraph"/>
        <w:numPr>
          <w:ilvl w:val="1"/>
          <w:numId w:val="4"/>
        </w:numPr>
      </w:pPr>
      <w:r w:rsidRPr="00F72FCC">
        <w:t xml:space="preserve">Discrimination is allowed if your client is uncomfortable </w:t>
      </w:r>
    </w:p>
    <w:p w:rsidR="00F24441" w:rsidRPr="00F72FCC" w:rsidRDefault="00F24441" w:rsidP="0085409A">
      <w:pPr>
        <w:pStyle w:val="ListParagraph"/>
        <w:numPr>
          <w:ilvl w:val="1"/>
          <w:numId w:val="4"/>
        </w:numPr>
      </w:pPr>
      <w:r w:rsidRPr="00F72FCC">
        <w:t xml:space="preserve">Recognizing that people do not like change </w:t>
      </w:r>
    </w:p>
    <w:p w:rsidR="00FC40B9" w:rsidRPr="00F72FCC" w:rsidRDefault="00F24441" w:rsidP="0085409A">
      <w:pPr>
        <w:pStyle w:val="ListParagraph"/>
        <w:numPr>
          <w:ilvl w:val="1"/>
          <w:numId w:val="4"/>
        </w:numPr>
      </w:pPr>
      <w:r w:rsidRPr="00F72FCC">
        <w:t>Learning to appreciate the differences in others and show them respect</w:t>
      </w:r>
      <w:r w:rsidR="00FC40B9">
        <w:t xml:space="preserve"> </w:t>
      </w:r>
    </w:p>
    <w:p w:rsidR="00FC40B9" w:rsidRDefault="00FC40B9" w:rsidP="00FC40B9">
      <w:pPr>
        <w:pStyle w:val="ListParagraph"/>
      </w:pPr>
    </w:p>
    <w:p w:rsidR="00F24441" w:rsidRPr="00F72FCC" w:rsidRDefault="00F24441" w:rsidP="0085409A">
      <w:pPr>
        <w:pStyle w:val="ListParagraph"/>
        <w:numPr>
          <w:ilvl w:val="0"/>
          <w:numId w:val="4"/>
        </w:numPr>
      </w:pPr>
      <w:r w:rsidRPr="00F72FCC">
        <w:t xml:space="preserve">Which of the following is NOT a federally protected class under Fair Housing </w:t>
      </w:r>
      <w:proofErr w:type="gramStart"/>
      <w:r w:rsidRPr="00F72FCC">
        <w:t>law:</w:t>
      </w:r>
      <w:proofErr w:type="gramEnd"/>
    </w:p>
    <w:p w:rsidR="00F24441" w:rsidRPr="00F72FCC" w:rsidRDefault="00F24441" w:rsidP="0085409A">
      <w:pPr>
        <w:pStyle w:val="ListParagraph"/>
        <w:numPr>
          <w:ilvl w:val="1"/>
          <w:numId w:val="4"/>
        </w:numPr>
      </w:pPr>
      <w:r w:rsidRPr="00F72FCC">
        <w:t xml:space="preserve">Sexual Orientation and Gender identity </w:t>
      </w:r>
    </w:p>
    <w:p w:rsidR="00F24441" w:rsidRPr="00F72FCC" w:rsidRDefault="00F24441" w:rsidP="0085409A">
      <w:pPr>
        <w:pStyle w:val="ListParagraph"/>
        <w:numPr>
          <w:ilvl w:val="1"/>
          <w:numId w:val="4"/>
        </w:numPr>
      </w:pPr>
      <w:r w:rsidRPr="00F72FCC">
        <w:t>Race</w:t>
      </w:r>
    </w:p>
    <w:p w:rsidR="00F24441" w:rsidRPr="00F72FCC" w:rsidRDefault="00F24441" w:rsidP="0085409A">
      <w:pPr>
        <w:pStyle w:val="ListParagraph"/>
        <w:numPr>
          <w:ilvl w:val="1"/>
          <w:numId w:val="4"/>
        </w:numPr>
      </w:pPr>
      <w:r w:rsidRPr="00F72FCC">
        <w:t>Religion</w:t>
      </w:r>
    </w:p>
    <w:p w:rsidR="00EB2B44" w:rsidRDefault="00F24441" w:rsidP="0085409A">
      <w:pPr>
        <w:pStyle w:val="ListParagraph"/>
        <w:numPr>
          <w:ilvl w:val="1"/>
          <w:numId w:val="4"/>
        </w:numPr>
      </w:pPr>
      <w:r w:rsidRPr="00F72FCC">
        <w:t xml:space="preserve">Familial Status </w:t>
      </w:r>
    </w:p>
    <w:p w:rsidR="00884880" w:rsidRPr="00F72FCC" w:rsidRDefault="00884880" w:rsidP="00884880">
      <w:pPr>
        <w:pStyle w:val="ListParagraph"/>
        <w:ind w:left="1440"/>
      </w:pPr>
    </w:p>
    <w:p w:rsidR="00F24441" w:rsidRPr="00F72FCC" w:rsidRDefault="00F24441" w:rsidP="0085409A">
      <w:pPr>
        <w:pStyle w:val="ListParagraph"/>
        <w:numPr>
          <w:ilvl w:val="0"/>
          <w:numId w:val="4"/>
        </w:numPr>
      </w:pPr>
      <w:r w:rsidRPr="00F72FCC">
        <w:t>Fair Housing Law protects:</w:t>
      </w:r>
    </w:p>
    <w:p w:rsidR="00F24441" w:rsidRPr="00F72FCC" w:rsidRDefault="00F24441" w:rsidP="0085409A">
      <w:pPr>
        <w:pStyle w:val="ListParagraph"/>
        <w:numPr>
          <w:ilvl w:val="1"/>
          <w:numId w:val="4"/>
        </w:numPr>
      </w:pPr>
      <w:r w:rsidRPr="00F72FCC">
        <w:t xml:space="preserve">A single father </w:t>
      </w:r>
    </w:p>
    <w:p w:rsidR="00F24441" w:rsidRPr="00F72FCC" w:rsidRDefault="00F24441" w:rsidP="0085409A">
      <w:pPr>
        <w:pStyle w:val="ListParagraph"/>
        <w:numPr>
          <w:ilvl w:val="1"/>
          <w:numId w:val="4"/>
        </w:numPr>
      </w:pPr>
      <w:r w:rsidRPr="00F72FCC">
        <w:t xml:space="preserve">A divorced black woman, who is also a single parent </w:t>
      </w:r>
    </w:p>
    <w:p w:rsidR="00F24441" w:rsidRPr="00F72FCC" w:rsidRDefault="00F24441" w:rsidP="0085409A">
      <w:pPr>
        <w:pStyle w:val="ListParagraph"/>
        <w:numPr>
          <w:ilvl w:val="1"/>
          <w:numId w:val="4"/>
        </w:numPr>
      </w:pPr>
      <w:r w:rsidRPr="00F72FCC">
        <w:t xml:space="preserve">A 70-year-old, Catholic white man in a wheelchair </w:t>
      </w:r>
    </w:p>
    <w:p w:rsidR="00884880" w:rsidRDefault="00F24441" w:rsidP="0085409A">
      <w:pPr>
        <w:pStyle w:val="ListParagraph"/>
        <w:numPr>
          <w:ilvl w:val="1"/>
          <w:numId w:val="4"/>
        </w:numPr>
      </w:pPr>
      <w:r w:rsidRPr="00F72FCC">
        <w:t xml:space="preserve">All of the above </w:t>
      </w:r>
    </w:p>
    <w:p w:rsidR="00884880" w:rsidRPr="00F72FCC" w:rsidRDefault="00884880" w:rsidP="00F24441"/>
    <w:p w:rsidR="00F24441" w:rsidRPr="00F72FCC" w:rsidRDefault="00F24441" w:rsidP="0085409A">
      <w:pPr>
        <w:pStyle w:val="ListParagraph"/>
        <w:numPr>
          <w:ilvl w:val="0"/>
          <w:numId w:val="4"/>
        </w:numPr>
      </w:pPr>
      <w:r w:rsidRPr="00F72FCC">
        <w:t>I speak a language other than English. Can I advertise this ability in my marketing?</w:t>
      </w:r>
    </w:p>
    <w:p w:rsidR="00F24441" w:rsidRPr="00F72FCC" w:rsidRDefault="00F24441" w:rsidP="0085409A">
      <w:pPr>
        <w:pStyle w:val="ListParagraph"/>
        <w:numPr>
          <w:ilvl w:val="1"/>
          <w:numId w:val="4"/>
        </w:numPr>
      </w:pPr>
      <w:r w:rsidRPr="00F72FCC">
        <w:t xml:space="preserve">Yes </w:t>
      </w:r>
    </w:p>
    <w:p w:rsidR="00F24441" w:rsidRPr="00F72FCC" w:rsidRDefault="00F24441" w:rsidP="0085409A">
      <w:pPr>
        <w:pStyle w:val="ListParagraph"/>
        <w:numPr>
          <w:ilvl w:val="1"/>
          <w:numId w:val="4"/>
        </w:numPr>
      </w:pPr>
      <w:r w:rsidRPr="00F72FCC">
        <w:t xml:space="preserve">No </w:t>
      </w:r>
    </w:p>
    <w:p w:rsidR="00F24441" w:rsidRPr="00F72FCC" w:rsidRDefault="00F24441" w:rsidP="00F24441"/>
    <w:p w:rsidR="00F24441" w:rsidRPr="00F72FCC" w:rsidRDefault="00F24441" w:rsidP="0085409A">
      <w:pPr>
        <w:pStyle w:val="ListParagraph"/>
        <w:numPr>
          <w:ilvl w:val="0"/>
          <w:numId w:val="4"/>
        </w:numPr>
      </w:pPr>
      <w:r w:rsidRPr="00F72FCC">
        <w:t>My seller tells me they promised the neighbors they would only sell to “the right kind of people.” What should I do?</w:t>
      </w:r>
    </w:p>
    <w:p w:rsidR="00F24441" w:rsidRPr="00F72FCC" w:rsidRDefault="00F24441" w:rsidP="0085409A">
      <w:pPr>
        <w:pStyle w:val="ListParagraph"/>
        <w:numPr>
          <w:ilvl w:val="1"/>
          <w:numId w:val="4"/>
        </w:numPr>
      </w:pPr>
      <w:r w:rsidRPr="00F72FCC">
        <w:t xml:space="preserve">Inform my broker immediately </w:t>
      </w:r>
    </w:p>
    <w:p w:rsidR="00F24441" w:rsidRPr="00F72FCC" w:rsidRDefault="00F24441" w:rsidP="0085409A">
      <w:pPr>
        <w:pStyle w:val="ListParagraph"/>
        <w:numPr>
          <w:ilvl w:val="1"/>
          <w:numId w:val="4"/>
        </w:numPr>
      </w:pPr>
      <w:r w:rsidRPr="00F72FCC">
        <w:t>Potentially fire the client</w:t>
      </w:r>
    </w:p>
    <w:p w:rsidR="00F24441" w:rsidRPr="00F72FCC" w:rsidRDefault="00F24441" w:rsidP="0085409A">
      <w:pPr>
        <w:pStyle w:val="ListParagraph"/>
        <w:numPr>
          <w:ilvl w:val="1"/>
          <w:numId w:val="4"/>
        </w:numPr>
      </w:pPr>
      <w:r w:rsidRPr="00F72FCC">
        <w:t>Educate the seller that they are also bound by federal Fair Housing law</w:t>
      </w:r>
    </w:p>
    <w:p w:rsidR="00F24441" w:rsidRPr="00F72FCC" w:rsidRDefault="00F24441" w:rsidP="0085409A">
      <w:pPr>
        <w:pStyle w:val="ListParagraph"/>
        <w:numPr>
          <w:ilvl w:val="1"/>
          <w:numId w:val="4"/>
        </w:numPr>
      </w:pPr>
      <w:r w:rsidRPr="00F72FCC">
        <w:t xml:space="preserve">All of the above </w:t>
      </w:r>
    </w:p>
    <w:p w:rsidR="00F24441" w:rsidRPr="00F72FCC" w:rsidRDefault="00F24441" w:rsidP="00F24441"/>
    <w:p w:rsidR="00F24441" w:rsidRPr="00F72FCC" w:rsidRDefault="00F24441" w:rsidP="0085409A">
      <w:pPr>
        <w:pStyle w:val="ListParagraph"/>
        <w:numPr>
          <w:ilvl w:val="0"/>
          <w:numId w:val="4"/>
        </w:numPr>
      </w:pPr>
      <w:r w:rsidRPr="00F72FCC">
        <w:t>“Steering” is the practice of:</w:t>
      </w:r>
    </w:p>
    <w:p w:rsidR="00F24441" w:rsidRPr="00F72FCC" w:rsidRDefault="00F24441" w:rsidP="0085409A">
      <w:pPr>
        <w:pStyle w:val="ListParagraph"/>
        <w:numPr>
          <w:ilvl w:val="1"/>
          <w:numId w:val="4"/>
        </w:numPr>
      </w:pPr>
      <w:r w:rsidRPr="00F72FCC">
        <w:t>Striking fear in the hearts of sellers so they will sell quickly and under value</w:t>
      </w:r>
    </w:p>
    <w:p w:rsidR="00F24441" w:rsidRPr="00F72FCC" w:rsidRDefault="00F24441" w:rsidP="0085409A">
      <w:pPr>
        <w:pStyle w:val="ListParagraph"/>
        <w:numPr>
          <w:ilvl w:val="1"/>
          <w:numId w:val="4"/>
        </w:numPr>
      </w:pPr>
      <w:r w:rsidRPr="00F72FCC">
        <w:t xml:space="preserve">Giving black buyers higher mortgage interest rate </w:t>
      </w:r>
    </w:p>
    <w:p w:rsidR="00F24441" w:rsidRPr="00F72FCC" w:rsidRDefault="00F24441" w:rsidP="0085409A">
      <w:pPr>
        <w:pStyle w:val="ListParagraph"/>
        <w:numPr>
          <w:ilvl w:val="1"/>
          <w:numId w:val="4"/>
        </w:numPr>
      </w:pPr>
      <w:r w:rsidRPr="00F72FCC">
        <w:t xml:space="preserve">Encouraging buyers to move into certain specific areas based on their race </w:t>
      </w:r>
    </w:p>
    <w:p w:rsidR="00F24441" w:rsidRPr="00F72FCC" w:rsidRDefault="00F24441" w:rsidP="0085409A">
      <w:pPr>
        <w:pStyle w:val="ListParagraph"/>
        <w:numPr>
          <w:ilvl w:val="1"/>
          <w:numId w:val="4"/>
        </w:numPr>
      </w:pPr>
      <w:r w:rsidRPr="00F72FCC">
        <w:t xml:space="preserve">Only allowing minority buyers to buy homes “on contract” via seller financing </w:t>
      </w:r>
    </w:p>
    <w:p w:rsidR="00F24441" w:rsidRPr="00F72FCC" w:rsidRDefault="00F24441" w:rsidP="00F24441"/>
    <w:p w:rsidR="00F24441" w:rsidRPr="00F72FCC" w:rsidRDefault="00F24441" w:rsidP="0085409A">
      <w:pPr>
        <w:pStyle w:val="ListParagraph"/>
        <w:numPr>
          <w:ilvl w:val="0"/>
          <w:numId w:val="4"/>
        </w:numPr>
      </w:pPr>
      <w:r w:rsidRPr="00F72FCC">
        <w:t>“Blockbusting” is the practice of:</w:t>
      </w:r>
    </w:p>
    <w:p w:rsidR="00F24441" w:rsidRPr="00F72FCC" w:rsidRDefault="00F24441" w:rsidP="0085409A">
      <w:pPr>
        <w:pStyle w:val="ListParagraph"/>
        <w:numPr>
          <w:ilvl w:val="1"/>
          <w:numId w:val="4"/>
        </w:numPr>
      </w:pPr>
      <w:r w:rsidRPr="00F72FCC">
        <w:t xml:space="preserve">Striking fear in the hearts of sellers so they will sell quickly and under value </w:t>
      </w:r>
    </w:p>
    <w:p w:rsidR="00F24441" w:rsidRPr="00F72FCC" w:rsidRDefault="00F24441" w:rsidP="0085409A">
      <w:pPr>
        <w:pStyle w:val="ListParagraph"/>
        <w:numPr>
          <w:ilvl w:val="1"/>
          <w:numId w:val="4"/>
        </w:numPr>
      </w:pPr>
      <w:r w:rsidRPr="00F72FCC">
        <w:t xml:space="preserve">Giving black buyers higher mortgage interest rate </w:t>
      </w:r>
    </w:p>
    <w:p w:rsidR="00F24441" w:rsidRPr="00F72FCC" w:rsidRDefault="00F24441" w:rsidP="0085409A">
      <w:pPr>
        <w:pStyle w:val="ListParagraph"/>
        <w:numPr>
          <w:ilvl w:val="1"/>
          <w:numId w:val="4"/>
        </w:numPr>
      </w:pPr>
      <w:r w:rsidRPr="00F72FCC">
        <w:t xml:space="preserve">Encouraging buyers to move into certain specific areas based on their race </w:t>
      </w:r>
    </w:p>
    <w:p w:rsidR="00EB2B44" w:rsidRDefault="00F24441" w:rsidP="0085409A">
      <w:pPr>
        <w:pStyle w:val="ListParagraph"/>
        <w:numPr>
          <w:ilvl w:val="1"/>
          <w:numId w:val="4"/>
        </w:numPr>
      </w:pPr>
      <w:r w:rsidRPr="00F72FCC">
        <w:t xml:space="preserve">Only allowing minority buyers to buy homes “on contract” via seller financing </w:t>
      </w:r>
    </w:p>
    <w:p w:rsidR="00EB2B44" w:rsidRDefault="00EB2B44" w:rsidP="0079001D">
      <w:pPr>
        <w:pStyle w:val="LIneDivider"/>
        <w:pBdr>
          <w:bottom w:val="none" w:sz="0" w:space="0" w:color="auto"/>
        </w:pBdr>
      </w:pPr>
    </w:p>
    <w:p w:rsidR="00B91B6D" w:rsidRDefault="00B91B6D" w:rsidP="0079001D">
      <w:pPr>
        <w:pStyle w:val="LIneDivider"/>
        <w:pBdr>
          <w:bottom w:val="none" w:sz="0" w:space="0" w:color="auto"/>
        </w:pBdr>
      </w:pPr>
    </w:p>
    <w:p w:rsidR="00B91B6D" w:rsidRDefault="00B91B6D" w:rsidP="0079001D">
      <w:pPr>
        <w:pStyle w:val="LIneDivider"/>
        <w:pBdr>
          <w:bottom w:val="none" w:sz="0" w:space="0" w:color="auto"/>
        </w:pBdr>
      </w:pPr>
    </w:p>
    <w:p w:rsidR="00B91B6D" w:rsidRDefault="00B91B6D" w:rsidP="0079001D">
      <w:pPr>
        <w:pStyle w:val="LIneDivider"/>
        <w:pBdr>
          <w:bottom w:val="none" w:sz="0" w:space="0" w:color="auto"/>
        </w:pBdr>
      </w:pPr>
    </w:p>
    <w:p w:rsidR="00B91B6D" w:rsidRDefault="00B91B6D" w:rsidP="0079001D">
      <w:pPr>
        <w:pStyle w:val="LIneDivider"/>
        <w:pBdr>
          <w:bottom w:val="none" w:sz="0" w:space="0" w:color="auto"/>
        </w:pBdr>
      </w:pPr>
    </w:p>
    <w:p w:rsidR="00F24441" w:rsidRDefault="00F24441" w:rsidP="00EB2B44">
      <w:pPr>
        <w:jc w:val="center"/>
      </w:pPr>
    </w:p>
    <w:p w:rsidR="00F24441" w:rsidRDefault="00F24441" w:rsidP="00EE0AA4">
      <w:pPr>
        <w:pStyle w:val="ListParagraph"/>
        <w:ind w:left="0"/>
      </w:pPr>
    </w:p>
    <w:p w:rsidR="00EB2B44" w:rsidRDefault="00B91B6D" w:rsidP="00BC23F4">
      <w:r>
        <w:rPr>
          <w:noProof/>
        </w:rPr>
        <w:drawing>
          <wp:anchor distT="0" distB="0" distL="114300" distR="114300" simplePos="0" relativeHeight="251728896" behindDoc="0" locked="0" layoutInCell="1" allowOverlap="1" wp14:anchorId="7665E325" wp14:editId="0F4A5454">
            <wp:simplePos x="0" y="0"/>
            <wp:positionH relativeFrom="column">
              <wp:posOffset>161925</wp:posOffset>
            </wp:positionH>
            <wp:positionV relativeFrom="paragraph">
              <wp:posOffset>299720</wp:posOffset>
            </wp:positionV>
            <wp:extent cx="5676900" cy="3190240"/>
            <wp:effectExtent l="19050" t="19050" r="19050" b="1016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6900" cy="31902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F24441" w:rsidRDefault="00F24441" w:rsidP="00F24441">
      <w:pPr>
        <w:pStyle w:val="ListParagraph"/>
        <w:ind w:left="0"/>
        <w:jc w:val="center"/>
        <w:rPr>
          <w:b/>
          <w:bCs/>
        </w:rPr>
      </w:pPr>
    </w:p>
    <w:p w:rsidR="00F01904" w:rsidRDefault="00F01904" w:rsidP="00422A36"/>
    <w:p w:rsidR="00F01904" w:rsidRDefault="00F01904" w:rsidP="00422A36"/>
    <w:p w:rsidR="00F01904" w:rsidRDefault="00F01904" w:rsidP="00422A36"/>
    <w:p w:rsidR="00B91B6D" w:rsidRDefault="00B91B6D" w:rsidP="00422A36">
      <w:pPr>
        <w:rPr>
          <w:noProof/>
        </w:rPr>
      </w:pPr>
    </w:p>
    <w:p w:rsidR="00F01904" w:rsidRDefault="00422A36" w:rsidP="00B91B6D">
      <w:pPr>
        <w:jc w:val="center"/>
      </w:pPr>
      <w:r>
        <w:rPr>
          <w:noProof/>
        </w:rPr>
        <w:drawing>
          <wp:inline distT="0" distB="0" distL="0" distR="0" wp14:anchorId="64C66665" wp14:editId="797A3165">
            <wp:extent cx="5698899" cy="3205631"/>
            <wp:effectExtent l="19050" t="19050" r="16510" b="139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lide15.JPG"/>
                    <pic:cNvPicPr/>
                  </pic:nvPicPr>
                  <pic:blipFill>
                    <a:blip r:embed="rId23">
                      <a:extLst>
                        <a:ext uri="{28A0092B-C50C-407E-A947-70E740481C1C}">
                          <a14:useLocalDpi xmlns:a14="http://schemas.microsoft.com/office/drawing/2010/main" val="0"/>
                        </a:ext>
                      </a:extLst>
                    </a:blip>
                    <a:stretch>
                      <a:fillRect/>
                    </a:stretch>
                  </pic:blipFill>
                  <pic:spPr>
                    <a:xfrm>
                      <a:off x="0" y="0"/>
                      <a:ext cx="5698899" cy="3205631"/>
                    </a:xfrm>
                    <a:prstGeom prst="rect">
                      <a:avLst/>
                    </a:prstGeom>
                    <a:ln>
                      <a:solidFill>
                        <a:schemeClr val="tx1"/>
                      </a:solidFill>
                    </a:ln>
                  </pic:spPr>
                </pic:pic>
              </a:graphicData>
            </a:graphic>
          </wp:inline>
        </w:drawing>
      </w:r>
    </w:p>
    <w:p w:rsidR="00F01904" w:rsidRDefault="00F01904" w:rsidP="00422A36"/>
    <w:p w:rsidR="00422A36" w:rsidRDefault="00422A36" w:rsidP="00AD205C"/>
    <w:p w:rsidR="00BC23F4" w:rsidRDefault="007409EB" w:rsidP="00BC23F4">
      <w:r>
        <w:rPr>
          <w:noProof/>
        </w:rPr>
        <w:lastRenderedPageBreak/>
        <w:drawing>
          <wp:anchor distT="0" distB="0" distL="114300" distR="114300" simplePos="0" relativeHeight="251730944" behindDoc="0" locked="0" layoutInCell="1" allowOverlap="1" wp14:anchorId="70CA698E" wp14:editId="78F37C36">
            <wp:simplePos x="0" y="0"/>
            <wp:positionH relativeFrom="column">
              <wp:posOffset>89535</wp:posOffset>
            </wp:positionH>
            <wp:positionV relativeFrom="paragraph">
              <wp:posOffset>171450</wp:posOffset>
            </wp:positionV>
            <wp:extent cx="5864225" cy="3295650"/>
            <wp:effectExtent l="19050" t="19050" r="22225" b="1905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lide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64225" cy="32956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C23F4" w:rsidRDefault="00BC23F4" w:rsidP="00EB2B44">
      <w:pPr>
        <w:pStyle w:val="Heading3"/>
      </w:pPr>
    </w:p>
    <w:p w:rsidR="00BC23F4" w:rsidRDefault="00BC23F4" w:rsidP="00EB2B44">
      <w:pPr>
        <w:pStyle w:val="Heading3"/>
      </w:pPr>
    </w:p>
    <w:p w:rsidR="00EB2B44" w:rsidRDefault="00F24441" w:rsidP="00EB2B44">
      <w:pPr>
        <w:pStyle w:val="Heading3"/>
      </w:pPr>
      <w:bookmarkStart w:id="15" w:name="_Toc20256109"/>
      <w:r w:rsidRPr="00636D59">
        <w:t>Fair Housing Quiz Answers and Explanations</w:t>
      </w:r>
      <w:bookmarkEnd w:id="15"/>
    </w:p>
    <w:p w:rsidR="00F24441" w:rsidRDefault="00F24441" w:rsidP="00F24441"/>
    <w:p w:rsidR="007409EB" w:rsidRDefault="00F24441" w:rsidP="0085409A">
      <w:pPr>
        <w:pStyle w:val="ListParagraph"/>
        <w:numPr>
          <w:ilvl w:val="0"/>
          <w:numId w:val="5"/>
        </w:numPr>
      </w:pPr>
      <w:r w:rsidRPr="007440B7">
        <w:t>The Fair Housing Act was created in 1968.</w:t>
      </w:r>
    </w:p>
    <w:p w:rsidR="00BC23F4" w:rsidRDefault="00BC23F4" w:rsidP="00BC23F4">
      <w:pPr>
        <w:pStyle w:val="ListParagraph"/>
      </w:pPr>
    </w:p>
    <w:p w:rsidR="007409EB" w:rsidRDefault="00F24441" w:rsidP="0085409A">
      <w:pPr>
        <w:pStyle w:val="ListParagraph"/>
        <w:numPr>
          <w:ilvl w:val="0"/>
          <w:numId w:val="5"/>
        </w:numPr>
      </w:pPr>
      <w:r w:rsidRPr="007440B7">
        <w:t>It was amended in 1974, 1988 and 1995.</w:t>
      </w:r>
    </w:p>
    <w:p w:rsidR="00BC23F4" w:rsidRDefault="00BC23F4" w:rsidP="00BC23F4">
      <w:pPr>
        <w:pStyle w:val="ListParagraph"/>
      </w:pPr>
    </w:p>
    <w:p w:rsidR="0014571B" w:rsidRDefault="00F24441" w:rsidP="0085409A">
      <w:pPr>
        <w:pStyle w:val="ListParagraph"/>
        <w:numPr>
          <w:ilvl w:val="0"/>
          <w:numId w:val="5"/>
        </w:numPr>
      </w:pPr>
      <w:r w:rsidRPr="007440B7">
        <w:t>The law makes any discrimination illegal on the basis of one or more of the federally protected classes, which are:</w:t>
      </w:r>
    </w:p>
    <w:p w:rsidR="007409EB" w:rsidRPr="007409EB" w:rsidRDefault="007409EB" w:rsidP="007409EB">
      <w:pPr>
        <w:pStyle w:val="ListParagraph"/>
        <w:rPr>
          <w:color w:val="000000"/>
        </w:rPr>
      </w:pPr>
    </w:p>
    <w:p w:rsidR="00BA3E5D" w:rsidRDefault="007409EB" w:rsidP="008C26A1">
      <w:pPr>
        <w:pStyle w:val="ListParagraph"/>
        <w:ind w:left="0"/>
        <w:rPr>
          <w:color w:val="000000"/>
        </w:rPr>
      </w:pPr>
      <w:r w:rsidRPr="004431F5">
        <w:rPr>
          <w:b/>
          <w:bCs/>
          <w:color w:val="000000"/>
        </w:rPr>
        <w:t>Civil Rights Act of 1866</w:t>
      </w:r>
    </w:p>
    <w:p w:rsidR="00BA3E5D" w:rsidRDefault="007409EB" w:rsidP="00BA3E5D">
      <w:pPr>
        <w:pStyle w:val="ListParagraph"/>
        <w:ind w:left="0"/>
        <w:jc w:val="both"/>
        <w:rPr>
          <w:color w:val="000000"/>
        </w:rPr>
      </w:pPr>
      <w:r w:rsidRPr="004431F5">
        <w:rPr>
          <w:color w:val="000000"/>
        </w:rPr>
        <w:t>Following the Civil War, Congress passed a series of laws to implement the 13th Amendment banning slavery and to eliminate its vestiges. One of these laws, the Civil Rights act of 1866 banned discrimination in the sale, transfer, lease or use of property, including real estate and housing. All citizens were granted the same rights enjoyed by white citizens in the use, purchase, lease, transfer, etc., of real estate and property. In a 1968 decision that is still applicable today, the United States Supreme Court held, in Jones v. Mayer, that the 1866 Act prohibits all forms of racial discrimination in real estate, whether committed by government or private parties. Persons suing under the 1866 Act are entitled to recover actual and punitive damages, and their attorneys’ fees and costs.</w:t>
      </w:r>
      <w:bookmarkStart w:id="16" w:name="EqualPro"/>
      <w:bookmarkEnd w:id="16"/>
    </w:p>
    <w:p w:rsidR="00BA3E5D" w:rsidRDefault="00BA3E5D" w:rsidP="00BA3E5D">
      <w:pPr>
        <w:pStyle w:val="ListParagraph"/>
        <w:ind w:left="0"/>
        <w:jc w:val="both"/>
        <w:rPr>
          <w:color w:val="000000"/>
        </w:rPr>
      </w:pPr>
    </w:p>
    <w:p w:rsidR="00BA3E5D" w:rsidRDefault="007409EB" w:rsidP="00BA3E5D">
      <w:pPr>
        <w:pStyle w:val="ListParagraph"/>
        <w:ind w:left="0"/>
        <w:jc w:val="both"/>
        <w:rPr>
          <w:color w:val="000000"/>
        </w:rPr>
      </w:pPr>
      <w:r w:rsidRPr="00BA3E5D">
        <w:rPr>
          <w:b/>
          <w:bCs/>
          <w:color w:val="000000"/>
        </w:rPr>
        <w:t>Equal Professional Service Model</w:t>
      </w:r>
    </w:p>
    <w:p w:rsidR="00BA3E5D" w:rsidRDefault="007409EB" w:rsidP="00BA3E5D">
      <w:pPr>
        <w:pStyle w:val="ListParagraph"/>
        <w:ind w:left="0"/>
        <w:jc w:val="both"/>
        <w:rPr>
          <w:color w:val="000000"/>
        </w:rPr>
      </w:pPr>
      <w:r w:rsidRPr="00BA3E5D">
        <w:rPr>
          <w:color w:val="000000"/>
        </w:rPr>
        <w:t xml:space="preserve">The Equal Professional Service Model is a set of policies and procedures designed to help its users provide the same level of service to all real estate consumers. The model involves consistent </w:t>
      </w:r>
      <w:r w:rsidRPr="00BA3E5D">
        <w:rPr>
          <w:color w:val="000000"/>
        </w:rPr>
        <w:lastRenderedPageBreak/>
        <w:t>practices in making the initial contact with consumers, gathering objective information about consumers' needs, letting consumers set their own limits, offering a variety of choices, and keeping accurate records of all of the above. The Equal Professional Service Model, a key part of NAR’s fair housing curriculum, was developed by NAR in the late 1980s. It provides a solid foundation for providing equal service in compliance with fair housing laws.</w:t>
      </w:r>
    </w:p>
    <w:p w:rsidR="00BA3E5D" w:rsidRDefault="007409EB" w:rsidP="00BA3E5D">
      <w:pPr>
        <w:pStyle w:val="ListParagraph"/>
        <w:ind w:left="0"/>
        <w:jc w:val="both"/>
        <w:rPr>
          <w:b/>
          <w:bCs/>
          <w:color w:val="000000"/>
        </w:rPr>
      </w:pPr>
      <w:r w:rsidRPr="00BA3E5D">
        <w:rPr>
          <w:color w:val="000000"/>
        </w:rPr>
        <w:br/>
      </w:r>
      <w:bookmarkStart w:id="17" w:name="Art10"/>
      <w:bookmarkEnd w:id="17"/>
      <w:r w:rsidRPr="00BA3E5D">
        <w:rPr>
          <w:b/>
          <w:bCs/>
          <w:color w:val="000000"/>
        </w:rPr>
        <w:t>Article 10 of the Code of Ethics</w:t>
      </w:r>
    </w:p>
    <w:p w:rsidR="00BA3E5D" w:rsidRDefault="007409EB" w:rsidP="00BA3E5D">
      <w:pPr>
        <w:pStyle w:val="ListParagraph"/>
        <w:ind w:left="0"/>
        <w:jc w:val="both"/>
        <w:rPr>
          <w:color w:val="000000"/>
        </w:rPr>
      </w:pPr>
      <w:r w:rsidRPr="00BA3E5D">
        <w:rPr>
          <w:color w:val="000000"/>
        </w:rPr>
        <w:t>REALTORS® shall not deny equal professional services to any person for reasons of race, color, religion, sex, handicap, familial status, or national origin. REALTORS® shall not be parties to any plan or agreement to discriminate against a person or persons on the basis of race, color, religion, sex, handicap, familial status, or national origin. (Amended 1/90)</w:t>
      </w:r>
      <w:r w:rsidR="00BA3E5D">
        <w:rPr>
          <w:color w:val="000000"/>
        </w:rPr>
        <w:t xml:space="preserve"> </w:t>
      </w:r>
    </w:p>
    <w:p w:rsidR="00BA3E5D" w:rsidRDefault="00BA3E5D" w:rsidP="00BA3E5D">
      <w:pPr>
        <w:pStyle w:val="ListParagraph"/>
        <w:ind w:left="0"/>
        <w:jc w:val="both"/>
        <w:rPr>
          <w:color w:val="000000"/>
        </w:rPr>
      </w:pPr>
    </w:p>
    <w:p w:rsidR="007409EB" w:rsidRDefault="007409EB" w:rsidP="00BA3E5D">
      <w:pPr>
        <w:pStyle w:val="ListParagraph"/>
        <w:ind w:left="0"/>
        <w:jc w:val="both"/>
        <w:rPr>
          <w:color w:val="000000"/>
        </w:rPr>
      </w:pPr>
      <w:r w:rsidRPr="00BA3E5D">
        <w:rPr>
          <w:color w:val="000000"/>
        </w:rPr>
        <w:t>REALTORS®, in their real estate employment practices, shall not discriminate against any person or persons on the basis of race, color, religion, sex, handicap, familial status, or national origin. (Amended 1/2000)</w:t>
      </w:r>
    </w:p>
    <w:p w:rsidR="00D9719F" w:rsidRDefault="00D9719F" w:rsidP="008C26A1">
      <w:pPr>
        <w:pStyle w:val="ListParagraph"/>
        <w:ind w:left="0"/>
        <w:rPr>
          <w:color w:val="000000"/>
        </w:rPr>
      </w:pPr>
    </w:p>
    <w:p w:rsidR="00D9719F" w:rsidRDefault="00D9719F" w:rsidP="00D9719F"/>
    <w:p w:rsidR="00D9719F" w:rsidRDefault="00D9719F" w:rsidP="00D9719F"/>
    <w:p w:rsidR="00BC23F4" w:rsidRDefault="00BC23F4" w:rsidP="00D9719F"/>
    <w:p w:rsidR="00BC23F4" w:rsidRDefault="00BC23F4" w:rsidP="00D9719F"/>
    <w:p w:rsidR="00BC23F4" w:rsidRDefault="00BC23F4" w:rsidP="00D9719F"/>
    <w:p w:rsidR="00BC23F4" w:rsidRDefault="00BC23F4" w:rsidP="00D9719F"/>
    <w:p w:rsidR="00BC23F4" w:rsidRDefault="00BC23F4" w:rsidP="00D9719F"/>
    <w:p w:rsidR="00BC23F4" w:rsidRDefault="00BC23F4" w:rsidP="00D9719F"/>
    <w:p w:rsidR="00BC23F4" w:rsidRDefault="00D9719F" w:rsidP="00D9719F">
      <w:r>
        <w:rPr>
          <w:noProof/>
        </w:rPr>
        <w:drawing>
          <wp:anchor distT="0" distB="0" distL="114300" distR="114300" simplePos="0" relativeHeight="251738112" behindDoc="0" locked="0" layoutInCell="1" allowOverlap="1" wp14:anchorId="302AEDA9" wp14:editId="45C04D12">
            <wp:simplePos x="0" y="0"/>
            <wp:positionH relativeFrom="column">
              <wp:posOffset>267083</wp:posOffset>
            </wp:positionH>
            <wp:positionV relativeFrom="paragraph">
              <wp:posOffset>173355</wp:posOffset>
            </wp:positionV>
            <wp:extent cx="5272330" cy="2962170"/>
            <wp:effectExtent l="19050" t="19050" r="24130" b="1016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de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2330" cy="29621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C23F4" w:rsidRDefault="00BC23F4" w:rsidP="00D9719F"/>
    <w:p w:rsidR="00BC23F4" w:rsidRDefault="00BC23F4" w:rsidP="00D9719F"/>
    <w:p w:rsidR="00BC23F4" w:rsidRDefault="00BC23F4" w:rsidP="00D9719F"/>
    <w:p w:rsidR="00BC23F4" w:rsidRDefault="00BC23F4" w:rsidP="00D9719F"/>
    <w:p w:rsidR="00BC23F4" w:rsidRDefault="00BC23F4" w:rsidP="00D9719F"/>
    <w:p w:rsidR="00BC23F4" w:rsidRDefault="00BC23F4" w:rsidP="00D9719F"/>
    <w:p w:rsidR="00BC23F4" w:rsidRDefault="00BC23F4" w:rsidP="00D9719F"/>
    <w:p w:rsidR="00BC23F4" w:rsidRDefault="00BC23F4" w:rsidP="00D9719F"/>
    <w:p w:rsidR="00BC23F4" w:rsidRDefault="00BC23F4" w:rsidP="00D9719F"/>
    <w:p w:rsidR="00D9719F" w:rsidRDefault="00D9719F" w:rsidP="00D9719F"/>
    <w:p w:rsidR="00D9719F" w:rsidRDefault="00D9719F" w:rsidP="00D9719F"/>
    <w:p w:rsidR="00D9719F" w:rsidRDefault="00D9719F" w:rsidP="00D9719F"/>
    <w:p w:rsidR="00D9719F" w:rsidRDefault="00D9719F" w:rsidP="00931468">
      <w:pPr>
        <w:pStyle w:val="Heading3"/>
      </w:pPr>
    </w:p>
    <w:p w:rsidR="00D9719F" w:rsidRDefault="00D9719F" w:rsidP="00931468">
      <w:pPr>
        <w:pStyle w:val="Heading3"/>
      </w:pPr>
    </w:p>
    <w:p w:rsidR="00D9719F" w:rsidRDefault="00D9719F" w:rsidP="00931468">
      <w:pPr>
        <w:pStyle w:val="Heading3"/>
      </w:pPr>
    </w:p>
    <w:p w:rsidR="00D9719F" w:rsidRDefault="00D9719F" w:rsidP="00931468">
      <w:pPr>
        <w:pStyle w:val="Heading3"/>
      </w:pPr>
    </w:p>
    <w:p w:rsidR="00D9719F" w:rsidRDefault="00D9719F" w:rsidP="00931468">
      <w:pPr>
        <w:pStyle w:val="Heading3"/>
      </w:pPr>
    </w:p>
    <w:p w:rsidR="00D9719F" w:rsidRDefault="00D9719F" w:rsidP="00931468">
      <w:pPr>
        <w:pStyle w:val="Heading3"/>
      </w:pPr>
    </w:p>
    <w:p w:rsidR="00D9719F" w:rsidRDefault="00D9719F" w:rsidP="00931468">
      <w:pPr>
        <w:pStyle w:val="Heading3"/>
      </w:pPr>
    </w:p>
    <w:p w:rsidR="00931468" w:rsidRDefault="00931468" w:rsidP="00931468">
      <w:pPr>
        <w:pStyle w:val="Heading3"/>
      </w:pPr>
      <w:bookmarkStart w:id="18" w:name="_Toc20256110"/>
      <w:r>
        <w:lastRenderedPageBreak/>
        <w:t>Review of Federally Protected Classes</w:t>
      </w:r>
      <w:bookmarkEnd w:id="18"/>
    </w:p>
    <w:p w:rsidR="00931468" w:rsidRDefault="00931468" w:rsidP="00931468"/>
    <w:p w:rsidR="00931468" w:rsidRDefault="00931468" w:rsidP="00931468">
      <w:r w:rsidRPr="007440B7">
        <w:t>(Instructor Note: Teach them the acronym</w:t>
      </w:r>
      <w:r w:rsidR="00FE2E38">
        <w:t xml:space="preserve"> </w:t>
      </w:r>
      <w:r w:rsidRPr="007440B7">
        <w:t xml:space="preserve">“FRESH CORN” to remember the </w:t>
      </w:r>
      <w:r w:rsidR="00FE2E38" w:rsidRPr="007440B7">
        <w:t xml:space="preserve">federally </w:t>
      </w:r>
      <w:r w:rsidR="00FE2E38">
        <w:t>protected</w:t>
      </w:r>
      <w:r w:rsidRPr="007440B7">
        <w:t xml:space="preserve"> classes:</w:t>
      </w:r>
      <w:r w:rsidR="00EE0AA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8275"/>
      </w:tblGrid>
      <w:tr w:rsidR="00931468" w:rsidRPr="007440B7" w:rsidTr="00AB2C1B">
        <w:tc>
          <w:tcPr>
            <w:tcW w:w="1075" w:type="dxa"/>
          </w:tcPr>
          <w:p w:rsidR="00931468" w:rsidRPr="007440B7" w:rsidRDefault="00931468" w:rsidP="00AB2C1B">
            <w:pPr>
              <w:jc w:val="center"/>
              <w:rPr>
                <w:b/>
                <w:bCs/>
              </w:rPr>
            </w:pPr>
            <w:r w:rsidRPr="007440B7">
              <w:rPr>
                <w:b/>
                <w:bCs/>
              </w:rPr>
              <w:t>F</w:t>
            </w:r>
          </w:p>
        </w:tc>
        <w:tc>
          <w:tcPr>
            <w:tcW w:w="8275" w:type="dxa"/>
          </w:tcPr>
          <w:p w:rsidR="00931468" w:rsidRPr="007440B7" w:rsidRDefault="00931468" w:rsidP="00AB2C1B">
            <w:r w:rsidRPr="007440B7">
              <w:rPr>
                <w:b/>
              </w:rPr>
              <w:t>Familial Status</w:t>
            </w:r>
          </w:p>
        </w:tc>
      </w:tr>
      <w:tr w:rsidR="00931468" w:rsidRPr="007440B7" w:rsidTr="00AB2C1B">
        <w:tc>
          <w:tcPr>
            <w:tcW w:w="1075" w:type="dxa"/>
          </w:tcPr>
          <w:p w:rsidR="00931468" w:rsidRPr="007440B7" w:rsidRDefault="00931468" w:rsidP="00AB2C1B">
            <w:pPr>
              <w:jc w:val="center"/>
              <w:rPr>
                <w:b/>
                <w:bCs/>
              </w:rPr>
            </w:pPr>
            <w:r w:rsidRPr="007440B7">
              <w:rPr>
                <w:b/>
                <w:bCs/>
              </w:rPr>
              <w:t>R</w:t>
            </w:r>
          </w:p>
        </w:tc>
        <w:tc>
          <w:tcPr>
            <w:tcW w:w="8275" w:type="dxa"/>
          </w:tcPr>
          <w:p w:rsidR="00931468" w:rsidRPr="007440B7" w:rsidRDefault="00931468" w:rsidP="00AB2C1B">
            <w:r w:rsidRPr="007440B7">
              <w:rPr>
                <w:b/>
              </w:rPr>
              <w:t>Race</w:t>
            </w:r>
          </w:p>
        </w:tc>
      </w:tr>
      <w:tr w:rsidR="00931468" w:rsidRPr="007440B7" w:rsidTr="00AB2C1B">
        <w:tc>
          <w:tcPr>
            <w:tcW w:w="1075" w:type="dxa"/>
          </w:tcPr>
          <w:p w:rsidR="00931468" w:rsidRPr="007440B7" w:rsidRDefault="00931468" w:rsidP="00AB2C1B">
            <w:pPr>
              <w:jc w:val="center"/>
              <w:rPr>
                <w:b/>
                <w:bCs/>
              </w:rPr>
            </w:pPr>
            <w:r w:rsidRPr="007440B7">
              <w:rPr>
                <w:b/>
                <w:bCs/>
              </w:rPr>
              <w:t>E</w:t>
            </w:r>
          </w:p>
        </w:tc>
        <w:tc>
          <w:tcPr>
            <w:tcW w:w="8275" w:type="dxa"/>
          </w:tcPr>
          <w:p w:rsidR="00931468" w:rsidRPr="007440B7" w:rsidRDefault="00931468" w:rsidP="00AB2C1B">
            <w:r w:rsidRPr="007440B7">
              <w:rPr>
                <w:b/>
              </w:rPr>
              <w:t>Ethnicity *</w:t>
            </w:r>
          </w:p>
        </w:tc>
      </w:tr>
      <w:tr w:rsidR="00931468" w:rsidRPr="007440B7" w:rsidTr="00AB2C1B">
        <w:tc>
          <w:tcPr>
            <w:tcW w:w="1075" w:type="dxa"/>
          </w:tcPr>
          <w:p w:rsidR="00931468" w:rsidRPr="007440B7" w:rsidRDefault="00931468" w:rsidP="00AB2C1B">
            <w:pPr>
              <w:jc w:val="center"/>
              <w:rPr>
                <w:b/>
                <w:bCs/>
              </w:rPr>
            </w:pPr>
            <w:r w:rsidRPr="007440B7">
              <w:rPr>
                <w:b/>
                <w:bCs/>
              </w:rPr>
              <w:t>S</w:t>
            </w:r>
          </w:p>
        </w:tc>
        <w:tc>
          <w:tcPr>
            <w:tcW w:w="8275" w:type="dxa"/>
          </w:tcPr>
          <w:p w:rsidR="00931468" w:rsidRPr="007440B7" w:rsidRDefault="00931468" w:rsidP="00AB2C1B">
            <w:r w:rsidRPr="007440B7">
              <w:rPr>
                <w:b/>
              </w:rPr>
              <w:t>Sex</w:t>
            </w:r>
          </w:p>
        </w:tc>
      </w:tr>
      <w:tr w:rsidR="00931468" w:rsidRPr="007440B7" w:rsidTr="00AB2C1B">
        <w:tc>
          <w:tcPr>
            <w:tcW w:w="1075" w:type="dxa"/>
          </w:tcPr>
          <w:p w:rsidR="00931468" w:rsidRPr="007440B7" w:rsidRDefault="00931468" w:rsidP="00AB2C1B">
            <w:pPr>
              <w:jc w:val="center"/>
              <w:rPr>
                <w:b/>
                <w:bCs/>
              </w:rPr>
            </w:pPr>
            <w:r w:rsidRPr="007440B7">
              <w:rPr>
                <w:b/>
                <w:bCs/>
              </w:rPr>
              <w:t>H</w:t>
            </w:r>
          </w:p>
        </w:tc>
        <w:tc>
          <w:tcPr>
            <w:tcW w:w="8275" w:type="dxa"/>
          </w:tcPr>
          <w:p w:rsidR="00931468" w:rsidRPr="007440B7" w:rsidRDefault="00931468" w:rsidP="00AB2C1B">
            <w:r w:rsidRPr="007440B7">
              <w:rPr>
                <w:b/>
              </w:rPr>
              <w:t>Handicap</w:t>
            </w:r>
          </w:p>
        </w:tc>
      </w:tr>
      <w:tr w:rsidR="00931468" w:rsidRPr="007440B7" w:rsidTr="00AB2C1B">
        <w:tc>
          <w:tcPr>
            <w:tcW w:w="1075" w:type="dxa"/>
          </w:tcPr>
          <w:p w:rsidR="00931468" w:rsidRPr="007440B7" w:rsidRDefault="00931468" w:rsidP="00AB2C1B">
            <w:pPr>
              <w:jc w:val="center"/>
              <w:rPr>
                <w:b/>
                <w:bCs/>
              </w:rPr>
            </w:pPr>
          </w:p>
        </w:tc>
        <w:tc>
          <w:tcPr>
            <w:tcW w:w="8275" w:type="dxa"/>
          </w:tcPr>
          <w:p w:rsidR="00931468" w:rsidRPr="007440B7" w:rsidRDefault="00931468" w:rsidP="00AB2C1B"/>
        </w:tc>
      </w:tr>
      <w:tr w:rsidR="00931468" w:rsidRPr="007440B7" w:rsidTr="00AB2C1B">
        <w:tc>
          <w:tcPr>
            <w:tcW w:w="1075" w:type="dxa"/>
          </w:tcPr>
          <w:p w:rsidR="00931468" w:rsidRPr="007440B7" w:rsidRDefault="00931468" w:rsidP="00AB2C1B">
            <w:pPr>
              <w:jc w:val="center"/>
              <w:rPr>
                <w:b/>
                <w:bCs/>
              </w:rPr>
            </w:pPr>
            <w:r w:rsidRPr="007440B7">
              <w:rPr>
                <w:b/>
                <w:bCs/>
              </w:rPr>
              <w:t>C</w:t>
            </w:r>
          </w:p>
        </w:tc>
        <w:tc>
          <w:tcPr>
            <w:tcW w:w="8275" w:type="dxa"/>
          </w:tcPr>
          <w:p w:rsidR="00931468" w:rsidRPr="007440B7" w:rsidRDefault="00931468" w:rsidP="00AB2C1B">
            <w:r w:rsidRPr="007440B7">
              <w:rPr>
                <w:b/>
              </w:rPr>
              <w:t>Color</w:t>
            </w:r>
          </w:p>
        </w:tc>
      </w:tr>
      <w:tr w:rsidR="00931468" w:rsidRPr="007440B7" w:rsidTr="00AB2C1B">
        <w:tc>
          <w:tcPr>
            <w:tcW w:w="1075" w:type="dxa"/>
          </w:tcPr>
          <w:p w:rsidR="00931468" w:rsidRPr="007440B7" w:rsidRDefault="00931468" w:rsidP="00AB2C1B">
            <w:pPr>
              <w:jc w:val="center"/>
              <w:rPr>
                <w:b/>
                <w:bCs/>
              </w:rPr>
            </w:pPr>
            <w:r w:rsidRPr="007440B7">
              <w:rPr>
                <w:b/>
                <w:bCs/>
              </w:rPr>
              <w:t>O</w:t>
            </w:r>
          </w:p>
        </w:tc>
        <w:tc>
          <w:tcPr>
            <w:tcW w:w="8275" w:type="dxa"/>
          </w:tcPr>
          <w:p w:rsidR="00931468" w:rsidRPr="007440B7" w:rsidRDefault="00931468" w:rsidP="00AB2C1B">
            <w:r w:rsidRPr="007440B7">
              <w:rPr>
                <w:b/>
              </w:rPr>
              <w:t>(PLACE HOLDER – Cover this separately in a moment) *</w:t>
            </w:r>
          </w:p>
        </w:tc>
      </w:tr>
      <w:tr w:rsidR="00931468" w:rsidRPr="007440B7" w:rsidTr="00AB2C1B">
        <w:tc>
          <w:tcPr>
            <w:tcW w:w="1075" w:type="dxa"/>
          </w:tcPr>
          <w:p w:rsidR="00931468" w:rsidRPr="007440B7" w:rsidRDefault="00931468" w:rsidP="00AB2C1B">
            <w:pPr>
              <w:jc w:val="center"/>
              <w:rPr>
                <w:b/>
                <w:bCs/>
              </w:rPr>
            </w:pPr>
            <w:r w:rsidRPr="007440B7">
              <w:rPr>
                <w:b/>
                <w:bCs/>
              </w:rPr>
              <w:t>R</w:t>
            </w:r>
          </w:p>
        </w:tc>
        <w:tc>
          <w:tcPr>
            <w:tcW w:w="8275" w:type="dxa"/>
          </w:tcPr>
          <w:p w:rsidR="00931468" w:rsidRPr="007440B7" w:rsidRDefault="00931468" w:rsidP="00AB2C1B">
            <w:r w:rsidRPr="007440B7">
              <w:rPr>
                <w:b/>
              </w:rPr>
              <w:t>Religion</w:t>
            </w:r>
          </w:p>
        </w:tc>
      </w:tr>
      <w:tr w:rsidR="00931468" w:rsidRPr="007440B7" w:rsidTr="00AB2C1B">
        <w:tc>
          <w:tcPr>
            <w:tcW w:w="1075" w:type="dxa"/>
          </w:tcPr>
          <w:p w:rsidR="00931468" w:rsidRPr="007440B7" w:rsidRDefault="00931468" w:rsidP="00AB2C1B">
            <w:pPr>
              <w:jc w:val="center"/>
              <w:rPr>
                <w:b/>
                <w:bCs/>
              </w:rPr>
            </w:pPr>
            <w:r w:rsidRPr="007440B7">
              <w:rPr>
                <w:b/>
                <w:bCs/>
              </w:rPr>
              <w:t>N</w:t>
            </w:r>
          </w:p>
        </w:tc>
        <w:tc>
          <w:tcPr>
            <w:tcW w:w="8275" w:type="dxa"/>
          </w:tcPr>
          <w:p w:rsidR="00931468" w:rsidRPr="007440B7" w:rsidRDefault="00931468" w:rsidP="00AB2C1B">
            <w:r w:rsidRPr="007440B7">
              <w:rPr>
                <w:b/>
              </w:rPr>
              <w:t>National Origin</w:t>
            </w:r>
          </w:p>
        </w:tc>
      </w:tr>
      <w:tr w:rsidR="00931468" w:rsidRPr="007440B7" w:rsidTr="00AB2C1B">
        <w:tc>
          <w:tcPr>
            <w:tcW w:w="1075" w:type="dxa"/>
          </w:tcPr>
          <w:p w:rsidR="00931468" w:rsidRPr="007440B7" w:rsidRDefault="00931468" w:rsidP="00AB2C1B">
            <w:pPr>
              <w:jc w:val="center"/>
              <w:rPr>
                <w:b/>
                <w:bCs/>
              </w:rPr>
            </w:pPr>
          </w:p>
        </w:tc>
        <w:tc>
          <w:tcPr>
            <w:tcW w:w="8275" w:type="dxa"/>
          </w:tcPr>
          <w:p w:rsidR="00931468" w:rsidRPr="007440B7" w:rsidRDefault="00931468" w:rsidP="00AB2C1B">
            <w:pPr>
              <w:rPr>
                <w:b/>
              </w:rPr>
            </w:pPr>
          </w:p>
        </w:tc>
      </w:tr>
      <w:tr w:rsidR="00931468" w:rsidRPr="007440B7" w:rsidTr="00AB2C1B">
        <w:tc>
          <w:tcPr>
            <w:tcW w:w="1075" w:type="dxa"/>
          </w:tcPr>
          <w:p w:rsidR="00931468" w:rsidRPr="007440B7" w:rsidRDefault="00931468" w:rsidP="00AB2C1B">
            <w:pPr>
              <w:jc w:val="center"/>
              <w:rPr>
                <w:b/>
                <w:bCs/>
              </w:rPr>
            </w:pPr>
          </w:p>
        </w:tc>
        <w:tc>
          <w:tcPr>
            <w:tcW w:w="8275" w:type="dxa"/>
          </w:tcPr>
          <w:p w:rsidR="00931468" w:rsidRDefault="00931468" w:rsidP="00AB2C1B">
            <w:r w:rsidRPr="007440B7">
              <w:rPr>
                <w:b/>
              </w:rPr>
              <w:t xml:space="preserve">* </w:t>
            </w:r>
            <w:r w:rsidRPr="007440B7">
              <w:t>Not specifically a federally protected class</w:t>
            </w:r>
          </w:p>
          <w:p w:rsidR="00931468" w:rsidRPr="007440B7" w:rsidRDefault="00931468" w:rsidP="00AB2C1B">
            <w:pPr>
              <w:rPr>
                <w:b/>
              </w:rPr>
            </w:pPr>
          </w:p>
        </w:tc>
      </w:tr>
    </w:tbl>
    <w:p w:rsidR="00931468" w:rsidRDefault="00931468" w:rsidP="00931468">
      <w:r w:rsidRPr="007440B7">
        <w:t>*O is a place holder for now. It should be noted that, for those who are members of the National Association of</w:t>
      </w:r>
      <w:r w:rsidRPr="007440B7">
        <w:rPr>
          <w:b/>
        </w:rPr>
        <w:t xml:space="preserve"> </w:t>
      </w:r>
      <w:r w:rsidRPr="007440B7">
        <w:t xml:space="preserve">REALTORS® and subscribe to the Code of Ethics, Article X covers Fair Housing. Amended in </w:t>
      </w:r>
      <w:r>
        <w:t>2014</w:t>
      </w:r>
      <w:r w:rsidRPr="007440B7">
        <w:t xml:space="preserve">, it also covers Sexual Orientation and Gender Identity, although neither are a federally protected class as of the writing of this material. Many states have included sexual identity and gender identity as specific “State Protected Classes.” </w:t>
      </w:r>
    </w:p>
    <w:p w:rsidR="007409EB" w:rsidRDefault="007409EB" w:rsidP="00931468"/>
    <w:p w:rsidR="007409EB" w:rsidRDefault="00BC23F4" w:rsidP="00931468">
      <w:r>
        <w:rPr>
          <w:noProof/>
        </w:rPr>
        <w:drawing>
          <wp:anchor distT="0" distB="0" distL="114300" distR="114300" simplePos="0" relativeHeight="251729920" behindDoc="0" locked="0" layoutInCell="1" allowOverlap="1" wp14:anchorId="29F2AA18" wp14:editId="55BE166D">
            <wp:simplePos x="0" y="0"/>
            <wp:positionH relativeFrom="column">
              <wp:posOffset>1021303</wp:posOffset>
            </wp:positionH>
            <wp:positionV relativeFrom="paragraph">
              <wp:posOffset>111760</wp:posOffset>
            </wp:positionV>
            <wp:extent cx="3476625" cy="1956283"/>
            <wp:effectExtent l="19050" t="19050" r="9525" b="2540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de6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6625" cy="195628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409EB" w:rsidRDefault="007409EB" w:rsidP="00931468"/>
    <w:p w:rsidR="007409EB" w:rsidRDefault="007409EB" w:rsidP="00931468"/>
    <w:p w:rsidR="007409EB" w:rsidRDefault="007409EB" w:rsidP="00931468"/>
    <w:p w:rsidR="007409EB" w:rsidRDefault="007409EB" w:rsidP="00931468"/>
    <w:p w:rsidR="007409EB" w:rsidRDefault="007409EB" w:rsidP="00931468"/>
    <w:p w:rsidR="000438DD" w:rsidRDefault="000438DD" w:rsidP="007409EB"/>
    <w:p w:rsidR="007409EB" w:rsidRDefault="007409EB" w:rsidP="007409EB"/>
    <w:p w:rsidR="007409EB" w:rsidRDefault="007409EB" w:rsidP="007409EB"/>
    <w:p w:rsidR="007409EB" w:rsidRDefault="007409EB" w:rsidP="007409EB"/>
    <w:p w:rsidR="007409EB" w:rsidRDefault="007409EB" w:rsidP="007409EB"/>
    <w:p w:rsidR="007409EB" w:rsidRDefault="00BC23F4" w:rsidP="007409EB">
      <w:r>
        <w:rPr>
          <w:b/>
          <w:bCs/>
          <w:noProof/>
        </w:rPr>
        <w:drawing>
          <wp:anchor distT="0" distB="0" distL="114300" distR="114300" simplePos="0" relativeHeight="251731968" behindDoc="0" locked="0" layoutInCell="1" allowOverlap="1" wp14:anchorId="4A841176" wp14:editId="4B46C392">
            <wp:simplePos x="0" y="0"/>
            <wp:positionH relativeFrom="column">
              <wp:posOffset>1019810</wp:posOffset>
            </wp:positionH>
            <wp:positionV relativeFrom="paragraph">
              <wp:posOffset>25400</wp:posOffset>
            </wp:positionV>
            <wp:extent cx="3476625" cy="1953260"/>
            <wp:effectExtent l="19050" t="19050" r="9525" b="2794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76625" cy="1953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7409EB" w:rsidRDefault="007409EB" w:rsidP="007409EB"/>
    <w:p w:rsidR="007409EB" w:rsidRDefault="007409EB" w:rsidP="007409EB"/>
    <w:p w:rsidR="007409EB" w:rsidRDefault="007409EB" w:rsidP="007409EB"/>
    <w:p w:rsidR="007409EB" w:rsidRDefault="007409EB" w:rsidP="007409EB"/>
    <w:p w:rsidR="007409EB" w:rsidRDefault="007409EB" w:rsidP="007409EB"/>
    <w:p w:rsidR="007409EB" w:rsidRDefault="007409EB" w:rsidP="007409EB"/>
    <w:p w:rsidR="007409EB" w:rsidRDefault="007409EB" w:rsidP="007409EB"/>
    <w:p w:rsidR="007409EB" w:rsidRDefault="007409EB" w:rsidP="007409EB"/>
    <w:p w:rsidR="007409EB" w:rsidRDefault="007409EB" w:rsidP="007409EB"/>
    <w:p w:rsidR="00A379BE" w:rsidRDefault="00A379BE" w:rsidP="007409EB"/>
    <w:tbl>
      <w:tblPr>
        <w:tblStyle w:val="TableGrid"/>
        <w:tblpPr w:leftFromText="180" w:rightFromText="180" w:vertAnchor="page" w:horzAnchor="margin" w:tblpY="1456"/>
        <w:tblW w:w="10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gridCol w:w="532"/>
      </w:tblGrid>
      <w:tr w:rsidR="00F20209" w:rsidTr="00A14B52">
        <w:tc>
          <w:tcPr>
            <w:tcW w:w="9720" w:type="dxa"/>
          </w:tcPr>
          <w:p w:rsidR="00F20209" w:rsidRDefault="00F20209" w:rsidP="00A379BE">
            <w:pPr>
              <w:pStyle w:val="Heading3"/>
              <w:outlineLvl w:val="2"/>
            </w:pPr>
            <w:bookmarkStart w:id="19" w:name="_Toc16611438"/>
            <w:bookmarkStart w:id="20" w:name="_Toc20256111"/>
            <w:r w:rsidRPr="00F72FCC">
              <w:lastRenderedPageBreak/>
              <w:t>DEFINITIONS</w:t>
            </w:r>
            <w:bookmarkEnd w:id="19"/>
            <w:bookmarkEnd w:id="20"/>
          </w:p>
          <w:p w:rsidR="00F20209" w:rsidRDefault="00F20209" w:rsidP="00A379BE">
            <w:pPr>
              <w:rPr>
                <w:b/>
                <w:bCs/>
                <w:color w:val="000000"/>
              </w:rPr>
            </w:pPr>
          </w:p>
          <w:p w:rsidR="00F20209" w:rsidRPr="00813EAE" w:rsidRDefault="00F20209" w:rsidP="00A379BE">
            <w:pPr>
              <w:rPr>
                <w:color w:val="000000"/>
              </w:rPr>
            </w:pPr>
            <w:r w:rsidRPr="00813EAE">
              <w:rPr>
                <w:b/>
                <w:bCs/>
                <w:color w:val="000000"/>
              </w:rPr>
              <w:t>Fair Housing Act</w:t>
            </w:r>
            <w:r w:rsidR="00503ED3">
              <w:rPr>
                <w:b/>
                <w:bCs/>
                <w:color w:val="000000"/>
              </w:rPr>
              <w:br/>
            </w:r>
            <w:r w:rsidRPr="00813EAE">
              <w:rPr>
                <w:color w:val="000000"/>
              </w:rPr>
              <w:t>A federal law passed in 1968 and amended in 1988. The original law strove to ensure equal housing opportunity for all, making it illegal to discriminate on the basis of race, color, religion, sex, or national origin. The amendments extended protection to families with children and persons with disabilities.</w:t>
            </w:r>
            <w:r w:rsidRPr="00813EAE">
              <w:rPr>
                <w:color w:val="000000"/>
              </w:rPr>
              <w:br/>
              <w:t xml:space="preserve"> </w:t>
            </w:r>
            <w:r w:rsidRPr="00813EAE">
              <w:rPr>
                <w:color w:val="000000"/>
              </w:rPr>
              <w:br/>
            </w:r>
            <w:bookmarkStart w:id="21" w:name="ProClass"/>
            <w:bookmarkEnd w:id="21"/>
            <w:r w:rsidRPr="00813EAE">
              <w:rPr>
                <w:b/>
                <w:bCs/>
                <w:color w:val="000000"/>
              </w:rPr>
              <w:t>Protected Classes</w:t>
            </w:r>
            <w:r w:rsidRPr="00813EAE">
              <w:rPr>
                <w:color w:val="000000"/>
              </w:rPr>
              <w:br/>
              <w:t>This refers to "categories" of homebuyers that are specifically protected from housing discrimination under the federal Fair Housing Act.</w:t>
            </w:r>
          </w:p>
          <w:p w:rsidR="00F20209" w:rsidRPr="00813EAE" w:rsidRDefault="00F20209" w:rsidP="00A379BE">
            <w:pPr>
              <w:rPr>
                <w:color w:val="000000"/>
              </w:rPr>
            </w:pPr>
          </w:p>
          <w:p w:rsidR="007409EB" w:rsidRDefault="002A1D61" w:rsidP="007409EB">
            <w:pPr>
              <w:rPr>
                <w:rFonts w:eastAsia="Times New Roman"/>
                <w:sz w:val="22"/>
                <w:szCs w:val="22"/>
              </w:rPr>
            </w:pPr>
            <w:r>
              <w:rPr>
                <w:b/>
                <w:bCs/>
                <w:noProof/>
              </w:rPr>
              <w:drawing>
                <wp:anchor distT="0" distB="0" distL="114300" distR="114300" simplePos="0" relativeHeight="251791360" behindDoc="0" locked="0" layoutInCell="1" allowOverlap="1" wp14:anchorId="367480B5" wp14:editId="2B3B58BA">
                  <wp:simplePos x="0" y="0"/>
                  <wp:positionH relativeFrom="column">
                    <wp:posOffset>4027170</wp:posOffset>
                  </wp:positionH>
                  <wp:positionV relativeFrom="paragraph">
                    <wp:posOffset>164465</wp:posOffset>
                  </wp:positionV>
                  <wp:extent cx="2066290" cy="1161118"/>
                  <wp:effectExtent l="19050" t="19050" r="10160" b="2032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lide2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6290" cy="1161118"/>
                          </a:xfrm>
                          <a:prstGeom prst="rect">
                            <a:avLst/>
                          </a:prstGeom>
                          <a:ln>
                            <a:solidFill>
                              <a:schemeClr val="tx1"/>
                            </a:solidFill>
                          </a:ln>
                        </pic:spPr>
                      </pic:pic>
                    </a:graphicData>
                  </a:graphic>
                </wp:anchor>
              </w:drawing>
            </w:r>
            <w:r w:rsidR="007409EB">
              <w:rPr>
                <w:rFonts w:eastAsia="Times New Roman"/>
              </w:rPr>
              <w:t>Let’s DEFINE what each of these terms actually means </w:t>
            </w:r>
          </w:p>
          <w:p w:rsidR="007409EB" w:rsidRDefault="007409EB" w:rsidP="000438DD">
            <w:pPr>
              <w:rPr>
                <w:b/>
                <w:bCs/>
                <w:color w:val="000000"/>
              </w:rPr>
            </w:pPr>
          </w:p>
          <w:p w:rsidR="00F46680" w:rsidRPr="00A14B52" w:rsidRDefault="00F20209" w:rsidP="00A14B52">
            <w:pPr>
              <w:rPr>
                <w:b/>
                <w:bCs/>
                <w:color w:val="000000"/>
              </w:rPr>
            </w:pPr>
            <w:r w:rsidRPr="000438DD">
              <w:rPr>
                <w:b/>
                <w:bCs/>
                <w:color w:val="000000"/>
              </w:rPr>
              <w:t>Race</w:t>
            </w:r>
            <w:r w:rsidR="00A14B52">
              <w:rPr>
                <w:b/>
                <w:bCs/>
                <w:color w:val="000000"/>
              </w:rPr>
              <w:t xml:space="preserve"> </w:t>
            </w:r>
            <w:r w:rsidR="00A14B52" w:rsidRPr="00A14B52">
              <w:t>-</w:t>
            </w:r>
            <w:r w:rsidR="00A14B52">
              <w:rPr>
                <w:b/>
                <w:bCs/>
                <w:color w:val="000000"/>
              </w:rPr>
              <w:t xml:space="preserve"> </w:t>
            </w:r>
            <w:r w:rsidR="00F46680" w:rsidRPr="00F46680">
              <w:rPr>
                <w:b/>
                <w:bCs/>
                <w:bdr w:val="none" w:sz="0" w:space="0" w:color="auto" w:frame="1"/>
              </w:rPr>
              <w:t>a</w:t>
            </w:r>
            <w:r w:rsidR="00F46680">
              <w:rPr>
                <w:bdr w:val="none" w:sz="0" w:space="0" w:color="auto" w:frame="1"/>
              </w:rPr>
              <w:t xml:space="preserve"> family, tribe, people, or nation belonging to the same stock</w:t>
            </w:r>
          </w:p>
          <w:p w:rsidR="00A14B52" w:rsidRPr="002A1D61" w:rsidRDefault="00F46680" w:rsidP="002A1D61">
            <w:pPr>
              <w:rPr>
                <w:bdr w:val="none" w:sz="0" w:space="0" w:color="auto" w:frame="1"/>
              </w:rPr>
            </w:pPr>
            <w:r>
              <w:rPr>
                <w:b/>
                <w:bCs/>
                <w:color w:val="212529"/>
                <w:bdr w:val="none" w:sz="0" w:space="0" w:color="auto" w:frame="1"/>
              </w:rPr>
              <w:t>b</w:t>
            </w:r>
            <w:r>
              <w:rPr>
                <w:rFonts w:ascii="inherit" w:hAnsi="inherit"/>
                <w:b/>
                <w:bCs/>
                <w:bdr w:val="none" w:sz="0" w:space="0" w:color="auto" w:frame="1"/>
              </w:rPr>
              <w:t>: </w:t>
            </w:r>
            <w:r>
              <w:rPr>
                <w:bdr w:val="none" w:sz="0" w:space="0" w:color="auto" w:frame="1"/>
              </w:rPr>
              <w:t>a class or kind of people unified by shared interests, habits, or characteristics</w:t>
            </w:r>
          </w:p>
          <w:p w:rsidR="00A14B52" w:rsidRPr="000438DD" w:rsidRDefault="00A14B52" w:rsidP="000438DD">
            <w:pPr>
              <w:rPr>
                <w:b/>
                <w:bCs/>
                <w:color w:val="000000"/>
              </w:rPr>
            </w:pPr>
          </w:p>
          <w:p w:rsidR="008C26A1" w:rsidRDefault="008C26A1" w:rsidP="00A14B52">
            <w:pPr>
              <w:rPr>
                <w:b/>
                <w:bCs/>
                <w:color w:val="000000"/>
              </w:rPr>
            </w:pPr>
          </w:p>
          <w:p w:rsidR="00F46680" w:rsidRPr="00A14B52" w:rsidRDefault="00F20209" w:rsidP="00A14B52">
            <w:pPr>
              <w:rPr>
                <w:b/>
                <w:bCs/>
                <w:color w:val="000000"/>
              </w:rPr>
            </w:pPr>
            <w:r w:rsidRPr="000438DD">
              <w:rPr>
                <w:b/>
                <w:bCs/>
                <w:color w:val="000000"/>
              </w:rPr>
              <w:t>Religion</w:t>
            </w:r>
            <w:r w:rsidR="00A14B52">
              <w:rPr>
                <w:b/>
                <w:bCs/>
                <w:color w:val="000000"/>
              </w:rPr>
              <w:t xml:space="preserve"> - </w:t>
            </w:r>
            <w:r w:rsidR="00F46680">
              <w:rPr>
                <w:b/>
                <w:bCs/>
                <w:color w:val="212529"/>
                <w:bdr w:val="none" w:sz="0" w:space="0" w:color="auto" w:frame="1"/>
              </w:rPr>
              <w:t>1</w:t>
            </w:r>
            <w:r w:rsidR="00F46680">
              <w:rPr>
                <w:bdr w:val="none" w:sz="0" w:space="0" w:color="auto" w:frame="1"/>
              </w:rPr>
              <w:t>the service and worship of God or the supernatural</w:t>
            </w:r>
          </w:p>
          <w:p w:rsidR="00F46680" w:rsidRDefault="00F46680" w:rsidP="00A14B52">
            <w:pPr>
              <w:rPr>
                <w:rFonts w:ascii="inherit" w:hAnsi="inherit"/>
                <w:color w:val="212529"/>
                <w:bdr w:val="none" w:sz="0" w:space="0" w:color="auto" w:frame="1"/>
              </w:rPr>
            </w:pPr>
            <w:r>
              <w:rPr>
                <w:b/>
                <w:bCs/>
                <w:color w:val="212529"/>
                <w:bdr w:val="none" w:sz="0" w:space="0" w:color="auto" w:frame="1"/>
              </w:rPr>
              <w:t xml:space="preserve">2. </w:t>
            </w:r>
            <w:r>
              <w:rPr>
                <w:bdr w:val="none" w:sz="0" w:space="0" w:color="auto" w:frame="1"/>
              </w:rPr>
              <w:t>commitment or devotion to religious faith or observance</w:t>
            </w:r>
          </w:p>
          <w:p w:rsidR="00F46680" w:rsidRDefault="00F46680" w:rsidP="00A14B52">
            <w:pPr>
              <w:rPr>
                <w:rFonts w:ascii="inherit" w:hAnsi="inherit"/>
                <w:color w:val="212529"/>
                <w:bdr w:val="none" w:sz="0" w:space="0" w:color="auto" w:frame="1"/>
              </w:rPr>
            </w:pPr>
            <w:r>
              <w:rPr>
                <w:b/>
                <w:bCs/>
                <w:color w:val="212529"/>
                <w:bdr w:val="none" w:sz="0" w:space="0" w:color="auto" w:frame="1"/>
              </w:rPr>
              <w:t>3</w:t>
            </w:r>
            <w:r>
              <w:rPr>
                <w:rFonts w:ascii="inherit" w:hAnsi="inherit"/>
                <w:b/>
                <w:bCs/>
                <w:bdr w:val="none" w:sz="0" w:space="0" w:color="auto" w:frame="1"/>
              </w:rPr>
              <w:t>: </w:t>
            </w:r>
            <w:r>
              <w:rPr>
                <w:bdr w:val="none" w:sz="0" w:space="0" w:color="auto" w:frame="1"/>
              </w:rPr>
              <w:t>a personal set or institutionalized system of religious attitudes, beliefs, and practices</w:t>
            </w:r>
          </w:p>
          <w:p w:rsidR="00F46680" w:rsidRDefault="00F46680" w:rsidP="00A14B52">
            <w:pPr>
              <w:rPr>
                <w:rFonts w:ascii="inherit" w:hAnsi="inherit"/>
                <w:color w:val="212529"/>
                <w:bdr w:val="none" w:sz="0" w:space="0" w:color="auto" w:frame="1"/>
              </w:rPr>
            </w:pPr>
            <w:r>
              <w:rPr>
                <w:b/>
                <w:bCs/>
                <w:color w:val="212529"/>
                <w:bdr w:val="none" w:sz="0" w:space="0" w:color="auto" w:frame="1"/>
              </w:rPr>
              <w:t>4</w:t>
            </w:r>
            <w:r>
              <w:rPr>
                <w:rFonts w:ascii="inherit" w:hAnsi="inherit"/>
                <w:b/>
                <w:bCs/>
                <w:bdr w:val="none" w:sz="0" w:space="0" w:color="auto" w:frame="1"/>
              </w:rPr>
              <w:t>: </w:t>
            </w:r>
            <w:r>
              <w:rPr>
                <w:bdr w:val="none" w:sz="0" w:space="0" w:color="auto" w:frame="1"/>
              </w:rPr>
              <w:t>a cause, principle, or system of beliefs held to with ardor and faith</w:t>
            </w:r>
          </w:p>
          <w:p w:rsidR="000438DD" w:rsidRPr="000438DD" w:rsidRDefault="000438DD" w:rsidP="00A14B52">
            <w:pPr>
              <w:rPr>
                <w:b/>
                <w:bCs/>
                <w:color w:val="000000"/>
              </w:rPr>
            </w:pPr>
          </w:p>
          <w:p w:rsidR="00F46680" w:rsidRPr="00A14B52" w:rsidRDefault="00F20209" w:rsidP="00A14B52">
            <w:pPr>
              <w:rPr>
                <w:b/>
                <w:bCs/>
              </w:rPr>
            </w:pPr>
            <w:r w:rsidRPr="00A14B52">
              <w:rPr>
                <w:b/>
                <w:bCs/>
              </w:rPr>
              <w:t>Color</w:t>
            </w:r>
            <w:r w:rsidR="00A14B52">
              <w:rPr>
                <w:b/>
                <w:bCs/>
              </w:rPr>
              <w:t xml:space="preserve"> -</w:t>
            </w:r>
            <w:r w:rsidR="00F46680">
              <w:rPr>
                <w:shd w:val="clear" w:color="auto" w:fill="FFFFFF"/>
              </w:rPr>
              <w:t>skin pigmentation especially other than white characteristic of race </w:t>
            </w:r>
          </w:p>
          <w:p w:rsidR="000438DD" w:rsidRPr="000438DD" w:rsidRDefault="000438DD" w:rsidP="00A14B52"/>
          <w:p w:rsidR="00F46680" w:rsidRPr="00A14B52" w:rsidRDefault="00F20209" w:rsidP="00A14B52">
            <w:pPr>
              <w:rPr>
                <w:b/>
                <w:bCs/>
              </w:rPr>
            </w:pPr>
            <w:r w:rsidRPr="00A14B52">
              <w:rPr>
                <w:b/>
                <w:bCs/>
              </w:rPr>
              <w:t>Sex</w:t>
            </w:r>
            <w:r w:rsidR="00A14B52">
              <w:rPr>
                <w:b/>
                <w:bCs/>
              </w:rPr>
              <w:t xml:space="preserve">- </w:t>
            </w:r>
            <w:r w:rsidR="00F46680">
              <w:rPr>
                <w:shd w:val="clear" w:color="auto" w:fill="FFFFFF"/>
              </w:rPr>
              <w:t>the state of being male or female</w:t>
            </w:r>
          </w:p>
          <w:p w:rsidR="00F46680" w:rsidRDefault="008C26A1" w:rsidP="000438DD">
            <w:pPr>
              <w:rPr>
                <w:b/>
                <w:bCs/>
                <w:color w:val="000000"/>
              </w:rPr>
            </w:pPr>
            <w:r>
              <w:rPr>
                <w:b/>
                <w:bCs/>
                <w:noProof/>
              </w:rPr>
              <w:drawing>
                <wp:anchor distT="0" distB="0" distL="114300" distR="114300" simplePos="0" relativeHeight="251792384" behindDoc="0" locked="0" layoutInCell="1" allowOverlap="1" wp14:anchorId="55FC6CBE" wp14:editId="4E9A1ABF">
                  <wp:simplePos x="0" y="0"/>
                  <wp:positionH relativeFrom="column">
                    <wp:posOffset>4027170</wp:posOffset>
                  </wp:positionH>
                  <wp:positionV relativeFrom="paragraph">
                    <wp:posOffset>173355</wp:posOffset>
                  </wp:positionV>
                  <wp:extent cx="2065655" cy="1160780"/>
                  <wp:effectExtent l="19050" t="19050" r="10795" b="2032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de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65655" cy="1160780"/>
                          </a:xfrm>
                          <a:prstGeom prst="rect">
                            <a:avLst/>
                          </a:prstGeom>
                          <a:ln>
                            <a:solidFill>
                              <a:schemeClr val="tx1"/>
                            </a:solidFill>
                          </a:ln>
                        </pic:spPr>
                      </pic:pic>
                    </a:graphicData>
                  </a:graphic>
                </wp:anchor>
              </w:drawing>
            </w:r>
          </w:p>
          <w:p w:rsidR="00A14B52" w:rsidRDefault="00F20209" w:rsidP="000438DD">
            <w:pPr>
              <w:rPr>
                <w:b/>
                <w:bCs/>
                <w:color w:val="000000"/>
              </w:rPr>
            </w:pPr>
            <w:r w:rsidRPr="000438DD">
              <w:rPr>
                <w:b/>
                <w:bCs/>
                <w:color w:val="000000"/>
              </w:rPr>
              <w:t>Handicap</w:t>
            </w:r>
            <w:r w:rsidR="00A14B52">
              <w:rPr>
                <w:b/>
                <w:bCs/>
                <w:color w:val="000000"/>
              </w:rPr>
              <w:t xml:space="preserve"> -</w:t>
            </w:r>
            <w:r w:rsidR="00F46680">
              <w:rPr>
                <w:bdr w:val="none" w:sz="0" w:space="0" w:color="auto" w:frame="1"/>
              </w:rPr>
              <w:t>A physical disability</w:t>
            </w:r>
          </w:p>
          <w:p w:rsidR="00A14B52" w:rsidRDefault="00A14B52" w:rsidP="000438DD">
            <w:pPr>
              <w:rPr>
                <w:b/>
                <w:bCs/>
                <w:color w:val="000000"/>
              </w:rPr>
            </w:pPr>
          </w:p>
          <w:p w:rsidR="00A14B52" w:rsidRPr="00A14B52" w:rsidRDefault="00F20209" w:rsidP="00A14B52">
            <w:pPr>
              <w:rPr>
                <w:b/>
                <w:bCs/>
                <w:color w:val="000000"/>
              </w:rPr>
            </w:pPr>
            <w:r w:rsidRPr="000438DD">
              <w:rPr>
                <w:b/>
                <w:bCs/>
                <w:color w:val="000000"/>
              </w:rPr>
              <w:t xml:space="preserve">Familial Status </w:t>
            </w:r>
            <w:r w:rsidR="00A14B52">
              <w:rPr>
                <w:b/>
                <w:bCs/>
                <w:color w:val="000000"/>
              </w:rPr>
              <w:t xml:space="preserve">- </w:t>
            </w:r>
            <w:r w:rsidR="00A14B52" w:rsidRPr="00A14B52">
              <w:t>Having a child under age 18 in the household, whether living with a parent, a legal custodian, or their designee. It also covers a woman who is pregnant, and people in the process of adopting or gaining custody of child/children</w:t>
            </w:r>
            <w:r w:rsidR="00A14B52">
              <w:rPr>
                <w:rFonts w:ascii="Arial" w:eastAsia="Times New Roman" w:hAnsi="Arial" w:cs="Arial"/>
                <w:color w:val="222222"/>
                <w:shd w:val="clear" w:color="auto" w:fill="FFFFFF"/>
              </w:rPr>
              <w:t xml:space="preserve">. </w:t>
            </w:r>
          </w:p>
          <w:p w:rsidR="00A14B52" w:rsidRDefault="00A14B52" w:rsidP="00A379BE">
            <w:pPr>
              <w:rPr>
                <w:b/>
                <w:bCs/>
                <w:color w:val="000000"/>
              </w:rPr>
            </w:pPr>
          </w:p>
          <w:p w:rsidR="00A14B52" w:rsidRDefault="00F20209" w:rsidP="00A14B52">
            <w:pPr>
              <w:rPr>
                <w:shd w:val="clear" w:color="auto" w:fill="FFFFFF"/>
              </w:rPr>
            </w:pPr>
            <w:r w:rsidRPr="000438DD">
              <w:rPr>
                <w:b/>
                <w:bCs/>
                <w:color w:val="000000"/>
              </w:rPr>
              <w:t>National Origin</w:t>
            </w:r>
            <w:r w:rsidRPr="000438DD">
              <w:rPr>
                <w:color w:val="000000"/>
              </w:rPr>
              <w:t xml:space="preserve"> </w:t>
            </w:r>
            <w:bookmarkStart w:id="22" w:name="CivilRights"/>
            <w:bookmarkEnd w:id="22"/>
            <w:r w:rsidR="00A14B52">
              <w:rPr>
                <w:color w:val="000000"/>
              </w:rPr>
              <w:t xml:space="preserve">- </w:t>
            </w:r>
            <w:r w:rsidR="00A14B52" w:rsidRPr="00A14B52">
              <w:rPr>
                <w:b/>
                <w:bCs/>
                <w:color w:val="6A6A6A"/>
              </w:rPr>
              <w:t>National orig</w:t>
            </w:r>
            <w:r w:rsidR="00A14B52">
              <w:rPr>
                <w:b/>
                <w:bCs/>
                <w:color w:val="6A6A6A"/>
              </w:rPr>
              <w:t>in</w:t>
            </w:r>
            <w:r w:rsidR="00A14B52">
              <w:rPr>
                <w:shd w:val="clear" w:color="auto" w:fill="FFFFFF"/>
              </w:rPr>
              <w:t> includes birthplace, </w:t>
            </w:r>
            <w:r w:rsidR="00A14B52">
              <w:rPr>
                <w:b/>
                <w:bCs/>
                <w:color w:val="6A6A6A"/>
              </w:rPr>
              <w:t>ethnicity</w:t>
            </w:r>
            <w:r w:rsidR="00A14B52">
              <w:rPr>
                <w:shd w:val="clear" w:color="auto" w:fill="FFFFFF"/>
              </w:rPr>
              <w:t>, </w:t>
            </w:r>
            <w:r w:rsidR="00A14B52">
              <w:rPr>
                <w:b/>
                <w:bCs/>
                <w:color w:val="6A6A6A"/>
              </w:rPr>
              <w:t>ancestry</w:t>
            </w:r>
            <w:r w:rsidR="00A14B52">
              <w:rPr>
                <w:shd w:val="clear" w:color="auto" w:fill="FFFFFF"/>
              </w:rPr>
              <w:t>, culture, and language</w:t>
            </w:r>
          </w:p>
          <w:p w:rsidR="008C26A1" w:rsidRDefault="008C26A1" w:rsidP="00A14B52">
            <w:pPr>
              <w:rPr>
                <w:color w:val="000000"/>
                <w:shd w:val="clear" w:color="auto" w:fill="FFFFFF"/>
              </w:rPr>
            </w:pPr>
          </w:p>
          <w:p w:rsidR="008C26A1" w:rsidRPr="004431F5" w:rsidRDefault="008C26A1" w:rsidP="008C26A1">
            <w:pPr>
              <w:pStyle w:val="ListParagraph"/>
              <w:ind w:left="0"/>
              <w:rPr>
                <w:color w:val="000000"/>
              </w:rPr>
            </w:pPr>
          </w:p>
          <w:p w:rsidR="008C26A1" w:rsidRDefault="008C26A1" w:rsidP="008C26A1">
            <w:pPr>
              <w:spacing w:after="160" w:line="259" w:lineRule="auto"/>
            </w:pPr>
            <w:r>
              <w:rPr>
                <w:b/>
                <w:bCs/>
                <w:noProof/>
              </w:rPr>
              <w:lastRenderedPageBreak/>
              <w:drawing>
                <wp:anchor distT="0" distB="0" distL="114300" distR="114300" simplePos="0" relativeHeight="251801600" behindDoc="0" locked="0" layoutInCell="1" allowOverlap="1" wp14:anchorId="11CF6B44" wp14:editId="5D52DB61">
                  <wp:simplePos x="0" y="0"/>
                  <wp:positionH relativeFrom="column">
                    <wp:posOffset>3743325</wp:posOffset>
                  </wp:positionH>
                  <wp:positionV relativeFrom="paragraph">
                    <wp:posOffset>169545</wp:posOffset>
                  </wp:positionV>
                  <wp:extent cx="2065688" cy="1160780"/>
                  <wp:effectExtent l="19050" t="19050" r="10795" b="203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lide2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5688" cy="1160780"/>
                          </a:xfrm>
                          <a:prstGeom prst="rect">
                            <a:avLst/>
                          </a:prstGeom>
                          <a:ln>
                            <a:solidFill>
                              <a:schemeClr val="tx1"/>
                            </a:solidFill>
                          </a:ln>
                        </pic:spPr>
                      </pic:pic>
                    </a:graphicData>
                  </a:graphic>
                </wp:anchor>
              </w:drawing>
            </w:r>
          </w:p>
          <w:p w:rsidR="008C26A1" w:rsidRPr="00A14B52" w:rsidRDefault="008C26A1" w:rsidP="00503ED3">
            <w:pPr>
              <w:jc w:val="both"/>
              <w:rPr>
                <w:rFonts w:ascii="Times New Roman" w:eastAsia="Times New Roman" w:hAnsi="Times New Roman" w:cs="Times New Roman"/>
              </w:rPr>
            </w:pPr>
            <w:r w:rsidRPr="000438DD">
              <w:rPr>
                <w:b/>
                <w:bCs/>
                <w:color w:val="000000"/>
              </w:rPr>
              <w:t>Steering</w:t>
            </w:r>
            <w:r>
              <w:rPr>
                <w:b/>
                <w:bCs/>
                <w:color w:val="000000"/>
              </w:rPr>
              <w:t xml:space="preserve">-- </w:t>
            </w:r>
            <w:r w:rsidRPr="00A14B52">
              <w:t>Racial steering refers to the practice in which real estate brokers guide prospective home buyers towards or away from certain neighborhoods based on their race. ... Advising customers to purchase homes in particular neighborhoods on the basis of race.</w:t>
            </w:r>
          </w:p>
          <w:p w:rsidR="008C26A1" w:rsidRPr="000438DD" w:rsidRDefault="008C26A1" w:rsidP="008C26A1">
            <w:pPr>
              <w:rPr>
                <w:b/>
                <w:bCs/>
                <w:color w:val="000000"/>
              </w:rPr>
            </w:pPr>
          </w:p>
          <w:p w:rsidR="008C26A1" w:rsidRPr="00A14B52" w:rsidRDefault="008C26A1" w:rsidP="00503ED3">
            <w:pPr>
              <w:jc w:val="both"/>
            </w:pPr>
            <w:r>
              <w:rPr>
                <w:b/>
                <w:bCs/>
                <w:noProof/>
              </w:rPr>
              <w:drawing>
                <wp:anchor distT="0" distB="0" distL="114300" distR="114300" simplePos="0" relativeHeight="251802624" behindDoc="0" locked="0" layoutInCell="1" allowOverlap="1" wp14:anchorId="4EB7039C" wp14:editId="5E125CAC">
                  <wp:simplePos x="0" y="0"/>
                  <wp:positionH relativeFrom="column">
                    <wp:posOffset>3743325</wp:posOffset>
                  </wp:positionH>
                  <wp:positionV relativeFrom="paragraph">
                    <wp:posOffset>55880</wp:posOffset>
                  </wp:positionV>
                  <wp:extent cx="2066290" cy="1157605"/>
                  <wp:effectExtent l="19050" t="19050" r="10160" b="2349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de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6290" cy="1157605"/>
                          </a:xfrm>
                          <a:prstGeom prst="rect">
                            <a:avLst/>
                          </a:prstGeom>
                          <a:ln>
                            <a:solidFill>
                              <a:schemeClr val="tx1"/>
                            </a:solidFill>
                          </a:ln>
                        </pic:spPr>
                      </pic:pic>
                    </a:graphicData>
                  </a:graphic>
                </wp:anchor>
              </w:drawing>
            </w:r>
            <w:r w:rsidRPr="000438DD">
              <w:rPr>
                <w:b/>
                <w:bCs/>
                <w:color w:val="000000"/>
              </w:rPr>
              <w:t xml:space="preserve">Blockbusting </w:t>
            </w:r>
            <w:r>
              <w:rPr>
                <w:b/>
                <w:bCs/>
                <w:color w:val="000000"/>
              </w:rPr>
              <w:t xml:space="preserve">- </w:t>
            </w:r>
            <w:r w:rsidRPr="00A14B52">
              <w:t>Blockbusting is a business process of U.S. real estate</w:t>
            </w:r>
            <w:r>
              <w:t xml:space="preserve"> </w:t>
            </w:r>
            <w:r w:rsidRPr="00A14B52">
              <w:t>agents and building developers to convince white property owners to sell their house at low prices, which they do by promoting fear in those house owners that racial minorities will soon be moving into the neighborhood</w:t>
            </w:r>
          </w:p>
          <w:p w:rsidR="008C26A1" w:rsidRDefault="008C26A1" w:rsidP="008C26A1">
            <w:pPr>
              <w:rPr>
                <w:b/>
                <w:bCs/>
                <w:color w:val="000000"/>
              </w:rPr>
            </w:pPr>
          </w:p>
          <w:p w:rsidR="008C26A1" w:rsidRPr="00B61F6C" w:rsidRDefault="008C26A1" w:rsidP="00503ED3">
            <w:pPr>
              <w:jc w:val="both"/>
            </w:pPr>
            <w:r>
              <w:rPr>
                <w:b/>
                <w:bCs/>
                <w:noProof/>
              </w:rPr>
              <w:drawing>
                <wp:anchor distT="0" distB="0" distL="114300" distR="114300" simplePos="0" relativeHeight="251803648" behindDoc="0" locked="0" layoutInCell="1" allowOverlap="1" wp14:anchorId="017A2CFF" wp14:editId="471CE570">
                  <wp:simplePos x="0" y="0"/>
                  <wp:positionH relativeFrom="column">
                    <wp:posOffset>3743325</wp:posOffset>
                  </wp:positionH>
                  <wp:positionV relativeFrom="paragraph">
                    <wp:posOffset>48895</wp:posOffset>
                  </wp:positionV>
                  <wp:extent cx="2066544" cy="1161288"/>
                  <wp:effectExtent l="19050" t="19050" r="10160" b="203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66544" cy="1161288"/>
                          </a:xfrm>
                          <a:prstGeom prst="rect">
                            <a:avLst/>
                          </a:prstGeom>
                          <a:ln>
                            <a:solidFill>
                              <a:schemeClr val="tx1"/>
                            </a:solidFill>
                          </a:ln>
                        </pic:spPr>
                      </pic:pic>
                    </a:graphicData>
                  </a:graphic>
                </wp:anchor>
              </w:drawing>
            </w:r>
            <w:r w:rsidRPr="000438DD">
              <w:rPr>
                <w:b/>
                <w:bCs/>
                <w:color w:val="000000"/>
              </w:rPr>
              <w:t xml:space="preserve">Racism </w:t>
            </w:r>
            <w:r>
              <w:rPr>
                <w:b/>
                <w:bCs/>
                <w:color w:val="000000"/>
              </w:rPr>
              <w:t xml:space="preserve">- </w:t>
            </w:r>
            <w:r w:rsidRPr="00B61F6C">
              <w:t>A belief that </w:t>
            </w:r>
            <w:hyperlink r:id="rId33" w:anchor="h3" w:history="1">
              <w:r w:rsidRPr="00B61F6C">
                <w:t>race</w:t>
              </w:r>
            </w:hyperlink>
            <w:r w:rsidRPr="00B61F6C">
              <w:t> is the primary </w:t>
            </w:r>
            <w:hyperlink r:id="rId34" w:history="1">
              <w:r w:rsidRPr="00B61F6C">
                <w:t>determinant</w:t>
              </w:r>
            </w:hyperlink>
            <w:r w:rsidRPr="00B61F6C">
              <w:t> of human traits and capacities and that racial differences produce an inherent superiority of a particular race</w:t>
            </w:r>
          </w:p>
          <w:p w:rsidR="008C26A1" w:rsidRDefault="008C26A1" w:rsidP="008C26A1">
            <w:pPr>
              <w:rPr>
                <w:b/>
                <w:bCs/>
                <w:color w:val="000000"/>
              </w:rPr>
            </w:pPr>
          </w:p>
          <w:p w:rsidR="008C26A1" w:rsidRDefault="008C26A1" w:rsidP="008C26A1">
            <w:pPr>
              <w:rPr>
                <w:b/>
                <w:bCs/>
                <w:color w:val="000000"/>
              </w:rPr>
            </w:pPr>
          </w:p>
          <w:p w:rsidR="008C26A1" w:rsidRDefault="008C26A1" w:rsidP="008C26A1">
            <w:pPr>
              <w:rPr>
                <w:b/>
                <w:bCs/>
                <w:color w:val="000000"/>
              </w:rPr>
            </w:pPr>
          </w:p>
          <w:p w:rsidR="008C26A1" w:rsidRDefault="008C26A1" w:rsidP="008C26A1">
            <w:pPr>
              <w:rPr>
                <w:b/>
                <w:bCs/>
                <w:color w:val="000000"/>
              </w:rPr>
            </w:pPr>
          </w:p>
          <w:p w:rsidR="008C26A1" w:rsidRPr="00B61F6C" w:rsidRDefault="008C26A1" w:rsidP="00503ED3">
            <w:r>
              <w:rPr>
                <w:b/>
                <w:bCs/>
                <w:noProof/>
              </w:rPr>
              <w:drawing>
                <wp:anchor distT="0" distB="0" distL="114300" distR="114300" simplePos="0" relativeHeight="251804672" behindDoc="0" locked="0" layoutInCell="1" allowOverlap="1" wp14:anchorId="3A9AD95F" wp14:editId="6191F517">
                  <wp:simplePos x="0" y="0"/>
                  <wp:positionH relativeFrom="column">
                    <wp:posOffset>3742690</wp:posOffset>
                  </wp:positionH>
                  <wp:positionV relativeFrom="paragraph">
                    <wp:posOffset>33020</wp:posOffset>
                  </wp:positionV>
                  <wp:extent cx="2066290" cy="1160780"/>
                  <wp:effectExtent l="19050" t="19050" r="10160" b="203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1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66290" cy="1160780"/>
                          </a:xfrm>
                          <a:prstGeom prst="rect">
                            <a:avLst/>
                          </a:prstGeom>
                          <a:ln>
                            <a:solidFill>
                              <a:schemeClr val="tx1"/>
                            </a:solidFill>
                          </a:ln>
                        </pic:spPr>
                      </pic:pic>
                    </a:graphicData>
                  </a:graphic>
                </wp:anchor>
              </w:drawing>
            </w:r>
            <w:r w:rsidRPr="000438DD">
              <w:rPr>
                <w:b/>
                <w:bCs/>
                <w:color w:val="000000"/>
              </w:rPr>
              <w:t xml:space="preserve">Bias </w:t>
            </w:r>
            <w:r>
              <w:rPr>
                <w:b/>
                <w:bCs/>
                <w:color w:val="000000"/>
              </w:rPr>
              <w:t xml:space="preserve">- </w:t>
            </w:r>
            <w:r w:rsidRPr="00B61F6C">
              <w:t>a personal and sometimes unreasoned judgment: </w:t>
            </w:r>
            <w:hyperlink r:id="rId36" w:history="1">
              <w:r w:rsidRPr="00B61F6C">
                <w:t>PREJUDICE</w:t>
              </w:r>
            </w:hyperlink>
          </w:p>
          <w:p w:rsidR="008C26A1" w:rsidRPr="00813EAE" w:rsidRDefault="008C26A1" w:rsidP="008C26A1">
            <w:pPr>
              <w:rPr>
                <w:color w:val="000000"/>
              </w:rPr>
            </w:pPr>
          </w:p>
          <w:p w:rsidR="008C26A1" w:rsidRDefault="008C26A1" w:rsidP="008C26A1">
            <w:pPr>
              <w:spacing w:after="160" w:line="259" w:lineRule="auto"/>
              <w:rPr>
                <w:rFonts w:eastAsiaTheme="majorEastAsia" w:cstheme="minorHAnsi"/>
                <w:b/>
                <w:bCs/>
                <w:sz w:val="30"/>
                <w:szCs w:val="30"/>
              </w:rPr>
            </w:pPr>
            <w:r>
              <w:br w:type="page"/>
            </w:r>
          </w:p>
          <w:p w:rsidR="008C26A1" w:rsidRPr="00813EAE" w:rsidRDefault="008C26A1" w:rsidP="00A14B52">
            <w:pPr>
              <w:rPr>
                <w:color w:val="000000"/>
              </w:rPr>
            </w:pPr>
          </w:p>
          <w:p w:rsidR="00A14B52" w:rsidRDefault="00A14B52" w:rsidP="00A379BE">
            <w:pPr>
              <w:rPr>
                <w:b/>
                <w:bCs/>
                <w:color w:val="000000"/>
              </w:rPr>
            </w:pPr>
          </w:p>
          <w:p w:rsidR="000438DD" w:rsidRDefault="00A14B52" w:rsidP="00503ED3">
            <w:pPr>
              <w:jc w:val="both"/>
              <w:rPr>
                <w:color w:val="000000"/>
              </w:rPr>
            </w:pPr>
            <w:r>
              <w:rPr>
                <w:b/>
                <w:bCs/>
                <w:noProof/>
              </w:rPr>
              <w:drawing>
                <wp:anchor distT="0" distB="0" distL="114300" distR="114300" simplePos="0" relativeHeight="251793408" behindDoc="0" locked="0" layoutInCell="1" allowOverlap="1" wp14:anchorId="2887453A" wp14:editId="0BC19F51">
                  <wp:simplePos x="0" y="0"/>
                  <wp:positionH relativeFrom="column">
                    <wp:posOffset>3741420</wp:posOffset>
                  </wp:positionH>
                  <wp:positionV relativeFrom="paragraph">
                    <wp:posOffset>19050</wp:posOffset>
                  </wp:positionV>
                  <wp:extent cx="2066290" cy="1160780"/>
                  <wp:effectExtent l="19050" t="19050" r="10160" b="2032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lide2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6290" cy="1160780"/>
                          </a:xfrm>
                          <a:prstGeom prst="rect">
                            <a:avLst/>
                          </a:prstGeom>
                          <a:ln>
                            <a:solidFill>
                              <a:schemeClr val="tx1"/>
                            </a:solidFill>
                          </a:ln>
                        </pic:spPr>
                      </pic:pic>
                    </a:graphicData>
                  </a:graphic>
                </wp:anchor>
              </w:drawing>
            </w:r>
            <w:r w:rsidR="00F20209" w:rsidRPr="008F6E36">
              <w:rPr>
                <w:b/>
                <w:bCs/>
                <w:color w:val="000000"/>
              </w:rPr>
              <w:t>Culture</w:t>
            </w:r>
            <w:r w:rsidR="00F20209" w:rsidRPr="00813EAE">
              <w:rPr>
                <w:color w:val="000000"/>
              </w:rPr>
              <w:t xml:space="preserve"> – a traditional common body of behavior and values shared or recognized as typical of the majority of a given population.</w:t>
            </w:r>
          </w:p>
          <w:p w:rsidR="00F20209" w:rsidRPr="00813EAE" w:rsidRDefault="00F20209" w:rsidP="00A379BE">
            <w:pPr>
              <w:rPr>
                <w:color w:val="000000"/>
              </w:rPr>
            </w:pPr>
            <w:r w:rsidRPr="00813EAE">
              <w:rPr>
                <w:color w:val="000000"/>
              </w:rPr>
              <w:t xml:space="preserve"> </w:t>
            </w:r>
          </w:p>
          <w:p w:rsidR="00F20209" w:rsidRDefault="00F20209" w:rsidP="00A379BE">
            <w:pPr>
              <w:rPr>
                <w:color w:val="000000"/>
              </w:rPr>
            </w:pPr>
          </w:p>
          <w:p w:rsidR="00A14B52" w:rsidRDefault="00A14B52" w:rsidP="00A379BE">
            <w:pPr>
              <w:rPr>
                <w:color w:val="000000"/>
              </w:rPr>
            </w:pPr>
          </w:p>
          <w:p w:rsidR="00A14B52" w:rsidRPr="00813EAE" w:rsidRDefault="00A14B52" w:rsidP="00A379BE">
            <w:pPr>
              <w:rPr>
                <w:color w:val="000000"/>
              </w:rPr>
            </w:pPr>
          </w:p>
          <w:p w:rsidR="00A14B52" w:rsidRPr="002A1D61" w:rsidRDefault="00A14B52" w:rsidP="00503ED3">
            <w:pPr>
              <w:jc w:val="both"/>
              <w:rPr>
                <w:rFonts w:eastAsia="Times New Roman" w:cs="Arial"/>
                <w:color w:val="222222"/>
                <w:shd w:val="clear" w:color="auto" w:fill="FFFFFF"/>
              </w:rPr>
            </w:pPr>
            <w:r>
              <w:rPr>
                <w:b/>
                <w:bCs/>
                <w:noProof/>
              </w:rPr>
              <w:drawing>
                <wp:anchor distT="0" distB="0" distL="114300" distR="114300" simplePos="0" relativeHeight="251794432" behindDoc="0" locked="0" layoutInCell="1" allowOverlap="1" wp14:anchorId="2CCB2CF2" wp14:editId="6D306F18">
                  <wp:simplePos x="0" y="0"/>
                  <wp:positionH relativeFrom="column">
                    <wp:posOffset>3742055</wp:posOffset>
                  </wp:positionH>
                  <wp:positionV relativeFrom="paragraph">
                    <wp:posOffset>50165</wp:posOffset>
                  </wp:positionV>
                  <wp:extent cx="2065655" cy="1160780"/>
                  <wp:effectExtent l="19050" t="19050" r="10795" b="2032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lide2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65655" cy="1160780"/>
                          </a:xfrm>
                          <a:prstGeom prst="rect">
                            <a:avLst/>
                          </a:prstGeom>
                          <a:ln>
                            <a:solidFill>
                              <a:schemeClr val="tx1"/>
                            </a:solidFill>
                          </a:ln>
                        </pic:spPr>
                      </pic:pic>
                    </a:graphicData>
                  </a:graphic>
                </wp:anchor>
              </w:drawing>
            </w:r>
            <w:r w:rsidR="00F20209" w:rsidRPr="008F6E36">
              <w:rPr>
                <w:b/>
                <w:bCs/>
                <w:color w:val="000000"/>
              </w:rPr>
              <w:t>Ethnicity</w:t>
            </w:r>
            <w:r w:rsidR="00F20209" w:rsidRPr="00813EAE">
              <w:rPr>
                <w:color w:val="000000"/>
              </w:rPr>
              <w:t xml:space="preserve"> - </w:t>
            </w:r>
            <w:r w:rsidR="00F20209" w:rsidRPr="00813EAE">
              <w:rPr>
                <w:rFonts w:eastAsia="Times New Roman" w:cs="Arial"/>
                <w:color w:val="222222"/>
                <w:shd w:val="clear" w:color="auto" w:fill="FFFFFF"/>
              </w:rPr>
              <w:t>the fact or state of belonging to a social group that has a common national or cultural tradition.</w:t>
            </w:r>
          </w:p>
          <w:p w:rsidR="00A14B52" w:rsidRPr="00813EAE" w:rsidRDefault="00A14B52" w:rsidP="00A379BE">
            <w:pPr>
              <w:rPr>
                <w:color w:val="000000"/>
              </w:rPr>
            </w:pPr>
          </w:p>
          <w:p w:rsidR="00F20209" w:rsidRPr="008F6E36" w:rsidRDefault="00F20209" w:rsidP="00503ED3">
            <w:pPr>
              <w:rPr>
                <w:rFonts w:eastAsia="Times New Roman" w:cs="Times New Roman"/>
              </w:rPr>
            </w:pPr>
            <w:r w:rsidRPr="008F6E36">
              <w:rPr>
                <w:b/>
                <w:bCs/>
                <w:color w:val="000000"/>
              </w:rPr>
              <w:t xml:space="preserve">Inclusion </w:t>
            </w:r>
            <w:r w:rsidRPr="00813EAE">
              <w:rPr>
                <w:color w:val="000000"/>
              </w:rPr>
              <w:t xml:space="preserve">- </w:t>
            </w:r>
            <w:r w:rsidRPr="00813EAE">
              <w:rPr>
                <w:rFonts w:eastAsia="Times New Roman" w:cs="Arial"/>
                <w:color w:val="222222"/>
                <w:shd w:val="clear" w:color="auto" w:fill="FFFFFF"/>
              </w:rPr>
              <w:t>the action or state of including or of being included within a group or structure.</w:t>
            </w:r>
          </w:p>
          <w:p w:rsidR="00F20209" w:rsidRPr="00813EAE" w:rsidRDefault="00F20209" w:rsidP="00A379BE">
            <w:pPr>
              <w:rPr>
                <w:color w:val="000000"/>
              </w:rPr>
            </w:pPr>
          </w:p>
          <w:p w:rsidR="00F20209" w:rsidRPr="00813EAE" w:rsidRDefault="00F20209" w:rsidP="00A379BE">
            <w:pPr>
              <w:rPr>
                <w:rFonts w:eastAsia="Times New Roman" w:cs="Times New Roman"/>
              </w:rPr>
            </w:pPr>
            <w:r w:rsidRPr="008F6E36">
              <w:rPr>
                <w:b/>
                <w:bCs/>
                <w:color w:val="000000"/>
              </w:rPr>
              <w:t>Diversity</w:t>
            </w:r>
            <w:r w:rsidRPr="00813EAE">
              <w:rPr>
                <w:color w:val="000000"/>
              </w:rPr>
              <w:t xml:space="preserve"> - </w:t>
            </w:r>
            <w:r w:rsidRPr="00813EAE">
              <w:rPr>
                <w:rFonts w:eastAsia="Times New Roman" w:cs="Arial"/>
                <w:color w:val="222222"/>
                <w:shd w:val="clear" w:color="auto" w:fill="FFFFFF"/>
              </w:rPr>
              <w:t>the state of being diverse; variety.</w:t>
            </w:r>
          </w:p>
          <w:p w:rsidR="00F20209" w:rsidRPr="00813EAE" w:rsidRDefault="00F20209" w:rsidP="00A379BE">
            <w:pPr>
              <w:rPr>
                <w:color w:val="000000"/>
              </w:rPr>
            </w:pPr>
          </w:p>
          <w:p w:rsidR="00A14B52" w:rsidRPr="00503ED3" w:rsidRDefault="00F20209" w:rsidP="00503ED3">
            <w:pPr>
              <w:jc w:val="both"/>
              <w:rPr>
                <w:rFonts w:cstheme="minorHAnsi"/>
              </w:rPr>
            </w:pPr>
            <w:r w:rsidRPr="008F6E36">
              <w:rPr>
                <w:b/>
                <w:bCs/>
                <w:color w:val="000000"/>
              </w:rPr>
              <w:t>Disparate Impact</w:t>
            </w:r>
            <w:r w:rsidR="00A14B52">
              <w:rPr>
                <w:b/>
                <w:bCs/>
                <w:color w:val="000000"/>
              </w:rPr>
              <w:t xml:space="preserve"> </w:t>
            </w:r>
            <w:r w:rsidR="00A14B52" w:rsidRPr="00A14B52">
              <w:t xml:space="preserve">-Discriminatory practices that often result in unintentional discrimination. This affects property managers using criminal background checks in their tenant selection process. </w:t>
            </w:r>
            <w:r w:rsidR="00A14B52" w:rsidRPr="00503ED3">
              <w:rPr>
                <w:rFonts w:cstheme="minorHAnsi"/>
              </w:rPr>
              <w:lastRenderedPageBreak/>
              <w:t xml:space="preserve">Utilizing a criminal background check is NOT illegal, but care must be taken in the screening process when choosing to rent or not to rent to an individual with a criminal history. </w:t>
            </w:r>
          </w:p>
          <w:p w:rsidR="00F20209" w:rsidRPr="00503ED3" w:rsidRDefault="00F20209" w:rsidP="00A379BE">
            <w:pPr>
              <w:rPr>
                <w:rFonts w:cstheme="minorHAnsi"/>
                <w:color w:val="000000"/>
              </w:rPr>
            </w:pPr>
          </w:p>
          <w:p w:rsidR="00F20209" w:rsidRPr="00503ED3" w:rsidRDefault="00F20209" w:rsidP="00503ED3">
            <w:pPr>
              <w:pStyle w:val="NormalWeb"/>
              <w:spacing w:before="150" w:beforeAutospacing="0" w:after="480" w:afterAutospacing="0"/>
              <w:jc w:val="both"/>
              <w:rPr>
                <w:rFonts w:asciiTheme="minorHAnsi" w:hAnsiTheme="minorHAnsi" w:cstheme="minorHAnsi"/>
              </w:rPr>
            </w:pPr>
            <w:r w:rsidRPr="00503ED3">
              <w:rPr>
                <w:rFonts w:asciiTheme="minorHAnsi" w:hAnsiTheme="minorHAnsi" w:cstheme="minorHAnsi"/>
                <w:b/>
                <w:bCs/>
                <w:color w:val="000000"/>
              </w:rPr>
              <w:t>Service Animal</w:t>
            </w:r>
            <w:r w:rsidRPr="00503ED3">
              <w:rPr>
                <w:rFonts w:asciiTheme="minorHAnsi" w:hAnsiTheme="minorHAnsi" w:cstheme="minorHAnsi"/>
                <w:color w:val="000000"/>
              </w:rPr>
              <w:t xml:space="preserve"> - </w:t>
            </w:r>
            <w:r w:rsidRPr="00503ED3">
              <w:rPr>
                <w:rFonts w:asciiTheme="minorHAnsi" w:hAnsiTheme="minorHAnsi" w:cstheme="minorHAnsi"/>
              </w:rPr>
              <w:t>an animal, typically a dog, that has been trained to assist a person who has a disability.</w:t>
            </w:r>
            <w:r w:rsidR="002A1D61" w:rsidRPr="00503ED3">
              <w:rPr>
                <w:rFonts w:asciiTheme="minorHAnsi" w:hAnsiTheme="minorHAnsi" w:cstheme="minorHAnsi"/>
              </w:rPr>
              <w:t xml:space="preserve"> The </w:t>
            </w:r>
            <w:hyperlink r:id="rId39" w:history="1">
              <w:r w:rsidR="002A1D61" w:rsidRPr="00503ED3">
                <w:rPr>
                  <w:rFonts w:asciiTheme="minorHAnsi" w:hAnsiTheme="minorHAnsi" w:cstheme="minorHAnsi"/>
                </w:rPr>
                <w:t>Americans with Disabilities Act</w:t>
              </w:r>
            </w:hyperlink>
            <w:r w:rsidR="002A1D61" w:rsidRPr="00503ED3">
              <w:rPr>
                <w:rFonts w:asciiTheme="minorHAnsi" w:hAnsiTheme="minorHAnsi" w:cstheme="minorHAnsi"/>
              </w:rPr>
              <w:t> (ADA) defines service animals as “dogs that are individually trained to do work or perform tasks for people with disabilities.” The act clearly states that those animals that simply provide emotional comfort do not qualify as service animals under the ADA. Some state and local laws have a broader definition, so be sure to check with local government agencies to learn if ESAs qualify for public access in your area.</w:t>
            </w:r>
          </w:p>
          <w:p w:rsidR="002A1D61" w:rsidRPr="00503ED3" w:rsidRDefault="002A1D61" w:rsidP="00503ED3">
            <w:pPr>
              <w:pStyle w:val="NormalWeb"/>
              <w:spacing w:before="150" w:beforeAutospacing="0" w:after="480" w:afterAutospacing="0"/>
              <w:jc w:val="both"/>
              <w:rPr>
                <w:rFonts w:asciiTheme="minorHAnsi" w:hAnsiTheme="minorHAnsi" w:cstheme="minorHAnsi"/>
              </w:rPr>
            </w:pPr>
            <w:r w:rsidRPr="00503ED3">
              <w:rPr>
                <w:rFonts w:asciiTheme="minorHAnsi" w:hAnsiTheme="minorHAnsi" w:cstheme="minorHAnsi"/>
                <w:b/>
                <w:bCs/>
                <w:noProof/>
              </w:rPr>
              <w:drawing>
                <wp:anchor distT="0" distB="0" distL="114300" distR="114300" simplePos="0" relativeHeight="251799552" behindDoc="0" locked="0" layoutInCell="1" allowOverlap="1" wp14:anchorId="644B54B0" wp14:editId="636ED13B">
                  <wp:simplePos x="0" y="0"/>
                  <wp:positionH relativeFrom="column">
                    <wp:posOffset>3884295</wp:posOffset>
                  </wp:positionH>
                  <wp:positionV relativeFrom="paragraph">
                    <wp:posOffset>1622425</wp:posOffset>
                  </wp:positionV>
                  <wp:extent cx="2066290" cy="1161118"/>
                  <wp:effectExtent l="19050" t="19050" r="10160" b="2032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de2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66290" cy="1161118"/>
                          </a:xfrm>
                          <a:prstGeom prst="rect">
                            <a:avLst/>
                          </a:prstGeom>
                          <a:ln>
                            <a:solidFill>
                              <a:schemeClr val="tx1"/>
                            </a:solidFill>
                          </a:ln>
                        </pic:spPr>
                      </pic:pic>
                    </a:graphicData>
                  </a:graphic>
                </wp:anchor>
              </w:drawing>
            </w:r>
            <w:r w:rsidR="00F20209" w:rsidRPr="00503ED3">
              <w:rPr>
                <w:rFonts w:asciiTheme="minorHAnsi" w:hAnsiTheme="minorHAnsi" w:cstheme="minorHAnsi"/>
                <w:b/>
                <w:bCs/>
                <w:color w:val="000000"/>
              </w:rPr>
              <w:t xml:space="preserve">Emotional Support Animal </w:t>
            </w:r>
            <w:r w:rsidRPr="00503ED3">
              <w:rPr>
                <w:rFonts w:asciiTheme="minorHAnsi" w:hAnsiTheme="minorHAnsi" w:cstheme="minorHAnsi"/>
                <w:b/>
                <w:bCs/>
                <w:color w:val="000000"/>
              </w:rPr>
              <w:t xml:space="preserve">- </w:t>
            </w:r>
            <w:r w:rsidRPr="00503ED3">
              <w:rPr>
                <w:rFonts w:asciiTheme="minorHAnsi" w:hAnsiTheme="minorHAnsi" w:cstheme="minorHAnsi"/>
              </w:rPr>
              <w:t>Although all dogs offer an emotional connection with their owner, to legally be considered an emotional support dog, the pet needs to be prescribed by a licensed mental health professional to a person with a disabling mental illness. A therapist, psychologist, or psychiatrist, for example, must decide that the presence of the animal is needed for the mental health of the patient. For example, owning a pet might ease a person’s anxiety or give him a focus in life. They are not </w:t>
            </w:r>
            <w:hyperlink r:id="rId41" w:history="1">
              <w:r w:rsidRPr="00503ED3">
                <w:rPr>
                  <w:rFonts w:asciiTheme="minorHAnsi" w:hAnsiTheme="minorHAnsi" w:cstheme="minorHAnsi"/>
                </w:rPr>
                <w:t>service dogs</w:t>
              </w:r>
            </w:hyperlink>
            <w:r w:rsidRPr="00503ED3">
              <w:rPr>
                <w:rFonts w:asciiTheme="minorHAnsi" w:hAnsiTheme="minorHAnsi" w:cstheme="minorHAnsi"/>
              </w:rPr>
              <w:t> and do not have the same rights. While a service dog, such as a guide dog, is generally allowed anywhere the public is allowed, ESAs are not. So, they cannot accompany their owners into restaurants or shopping malls, for example.</w:t>
            </w:r>
          </w:p>
          <w:p w:rsidR="002A1D61" w:rsidRPr="002A1D61" w:rsidRDefault="002A1D61" w:rsidP="002A1D61">
            <w:pPr>
              <w:rPr>
                <w:b/>
                <w:bCs/>
              </w:rPr>
            </w:pPr>
            <w:r w:rsidRPr="002A1D61">
              <w:rPr>
                <w:b/>
                <w:bCs/>
              </w:rPr>
              <w:t xml:space="preserve">Minority </w:t>
            </w:r>
            <w:r>
              <w:rPr>
                <w:b/>
                <w:bCs/>
              </w:rPr>
              <w:t xml:space="preserve">- </w:t>
            </w:r>
            <w:r w:rsidRPr="002A1D61">
              <w:rPr>
                <w:shd w:val="clear" w:color="auto" w:fill="FFFFFF"/>
              </w:rPr>
              <w:t>a relatively small group of people, especially one commonly discriminated against in a community, society, or nation, differing from others in race, religion, language, or political persuasion.</w:t>
            </w:r>
          </w:p>
          <w:p w:rsidR="00F20209" w:rsidRPr="00F20209" w:rsidRDefault="00F20209" w:rsidP="00A379BE">
            <w:pPr>
              <w:rPr>
                <w:rFonts w:eastAsia="Times New Roman" w:cs="Times New Roman"/>
                <w:b/>
                <w:bCs/>
                <w:kern w:val="36"/>
                <w:sz w:val="40"/>
                <w:szCs w:val="48"/>
              </w:rPr>
            </w:pPr>
          </w:p>
        </w:tc>
        <w:tc>
          <w:tcPr>
            <w:tcW w:w="532" w:type="dxa"/>
          </w:tcPr>
          <w:p w:rsidR="00F20209" w:rsidRDefault="00F20209" w:rsidP="00A379BE">
            <w:pPr>
              <w:rPr>
                <w:noProof/>
              </w:rPr>
            </w:pPr>
          </w:p>
        </w:tc>
      </w:tr>
    </w:tbl>
    <w:p w:rsidR="000438DD" w:rsidRDefault="000438DD">
      <w:pPr>
        <w:spacing w:after="160" w:line="259" w:lineRule="auto"/>
        <w:rPr>
          <w:rFonts w:eastAsiaTheme="majorEastAsia" w:cstheme="minorHAnsi"/>
          <w:b/>
          <w:bCs/>
          <w:sz w:val="30"/>
          <w:szCs w:val="30"/>
        </w:rPr>
      </w:pPr>
    </w:p>
    <w:p w:rsidR="0079001D" w:rsidRDefault="0079001D">
      <w:pPr>
        <w:spacing w:after="160" w:line="259" w:lineRule="auto"/>
        <w:rPr>
          <w:rFonts w:eastAsiaTheme="majorEastAsia" w:cstheme="minorHAnsi"/>
          <w:b/>
          <w:bCs/>
          <w:sz w:val="30"/>
          <w:szCs w:val="30"/>
        </w:rPr>
      </w:pPr>
      <w:r>
        <w:br w:type="page"/>
      </w:r>
    </w:p>
    <w:p w:rsidR="00931468" w:rsidRDefault="00931468" w:rsidP="00931468">
      <w:pPr>
        <w:pStyle w:val="Heading3"/>
      </w:pPr>
      <w:bookmarkStart w:id="23" w:name="_Toc20256112"/>
      <w:r>
        <w:lastRenderedPageBreak/>
        <w:t>Review of State Protected Classes</w:t>
      </w:r>
      <w:bookmarkEnd w:id="23"/>
    </w:p>
    <w:p w:rsidR="00931468" w:rsidRDefault="00931468" w:rsidP="00931468"/>
    <w:p w:rsidR="00931468" w:rsidRDefault="00931468" w:rsidP="0085409A">
      <w:pPr>
        <w:pStyle w:val="ListParagraph"/>
        <w:numPr>
          <w:ilvl w:val="0"/>
          <w:numId w:val="6"/>
        </w:numPr>
        <w:rPr>
          <w:b/>
          <w:bCs/>
          <w:sz w:val="28"/>
          <w:szCs w:val="28"/>
        </w:rPr>
      </w:pPr>
      <w:r w:rsidRPr="00636D59">
        <w:rPr>
          <w:b/>
          <w:bCs/>
          <w:sz w:val="28"/>
          <w:szCs w:val="28"/>
        </w:rPr>
        <w:t>Louisiana State specific Protected Classes:</w:t>
      </w:r>
    </w:p>
    <w:p w:rsidR="00BB5ADD" w:rsidRDefault="00BB5ADD" w:rsidP="00931468">
      <w:pPr>
        <w:pStyle w:val="LIneDivider"/>
      </w:pPr>
    </w:p>
    <w:p w:rsidR="00931468" w:rsidRDefault="000438DD" w:rsidP="000438DD">
      <w:pPr>
        <w:pStyle w:val="LIneDivider"/>
      </w:pPr>
      <w:r>
        <w:rPr>
          <w:b/>
          <w:bCs/>
          <w:noProof/>
        </w:rPr>
        <w:drawing>
          <wp:inline distT="0" distB="0" distL="0" distR="0" wp14:anchorId="1F66F611" wp14:editId="4BFAAAB0">
            <wp:extent cx="3848100" cy="2162376"/>
            <wp:effectExtent l="19050" t="19050" r="19050" b="285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de1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55134" cy="2166328"/>
                    </a:xfrm>
                    <a:prstGeom prst="rect">
                      <a:avLst/>
                    </a:prstGeom>
                    <a:ln>
                      <a:solidFill>
                        <a:schemeClr val="tx1"/>
                      </a:solidFill>
                    </a:ln>
                  </pic:spPr>
                </pic:pic>
              </a:graphicData>
            </a:graphic>
          </wp:inline>
        </w:drawing>
      </w:r>
    </w:p>
    <w:p w:rsidR="00FE2E0B" w:rsidRDefault="00FE2E0B" w:rsidP="000438DD">
      <w:pPr>
        <w:pStyle w:val="LIneDivider"/>
      </w:pPr>
    </w:p>
    <w:p w:rsidR="00FE2E0B" w:rsidRDefault="00FE2E0B" w:rsidP="000438DD">
      <w:pPr>
        <w:pStyle w:val="LIneDivider"/>
      </w:pPr>
    </w:p>
    <w:p w:rsidR="00FE2E0B" w:rsidRPr="000438DD" w:rsidRDefault="00FE2E0B" w:rsidP="000438DD">
      <w:pPr>
        <w:pStyle w:val="LIneDivider"/>
      </w:pPr>
    </w:p>
    <w:p w:rsidR="00DD2659" w:rsidRDefault="00DD2659" w:rsidP="00931468">
      <w:pPr>
        <w:pStyle w:val="ListParagraph"/>
        <w:ind w:left="0"/>
        <w:rPr>
          <w:b/>
          <w:bCs/>
        </w:rPr>
      </w:pPr>
    </w:p>
    <w:tbl>
      <w:tblPr>
        <w:tblStyle w:val="TableGrid"/>
        <w:tblW w:w="73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5"/>
        <w:gridCol w:w="3655"/>
      </w:tblGrid>
      <w:tr w:rsidR="00850175" w:rsidTr="00850175">
        <w:trPr>
          <w:jc w:val="center"/>
        </w:trPr>
        <w:tc>
          <w:tcPr>
            <w:tcW w:w="3655" w:type="dxa"/>
          </w:tcPr>
          <w:p w:rsidR="00850175" w:rsidRDefault="00850175" w:rsidP="00931468">
            <w:pPr>
              <w:pStyle w:val="ListParagraph"/>
              <w:ind w:left="0"/>
              <w:rPr>
                <w:b/>
                <w:bCs/>
              </w:rPr>
            </w:pPr>
          </w:p>
        </w:tc>
        <w:tc>
          <w:tcPr>
            <w:tcW w:w="3655" w:type="dxa"/>
          </w:tcPr>
          <w:p w:rsidR="00850175" w:rsidRDefault="00850175" w:rsidP="00931468">
            <w:pPr>
              <w:pStyle w:val="ListParagraph"/>
              <w:ind w:left="0"/>
              <w:rPr>
                <w:b/>
                <w:bCs/>
              </w:rPr>
            </w:pPr>
          </w:p>
        </w:tc>
      </w:tr>
      <w:tr w:rsidR="00850175" w:rsidTr="00850175">
        <w:trPr>
          <w:jc w:val="center"/>
        </w:trPr>
        <w:tc>
          <w:tcPr>
            <w:tcW w:w="3655" w:type="dxa"/>
          </w:tcPr>
          <w:p w:rsidR="00850175" w:rsidRDefault="00850175" w:rsidP="00931468">
            <w:pPr>
              <w:pStyle w:val="ListParagraph"/>
              <w:ind w:left="0"/>
              <w:rPr>
                <w:b/>
                <w:bCs/>
              </w:rPr>
            </w:pPr>
          </w:p>
        </w:tc>
        <w:tc>
          <w:tcPr>
            <w:tcW w:w="3655" w:type="dxa"/>
          </w:tcPr>
          <w:p w:rsidR="00850175" w:rsidRDefault="00850175" w:rsidP="00931468">
            <w:pPr>
              <w:pStyle w:val="ListParagraph"/>
              <w:ind w:left="0"/>
              <w:rPr>
                <w:b/>
                <w:bCs/>
              </w:rPr>
            </w:pPr>
          </w:p>
        </w:tc>
      </w:tr>
      <w:tr w:rsidR="00850175" w:rsidTr="00850175">
        <w:trPr>
          <w:jc w:val="center"/>
        </w:trPr>
        <w:tc>
          <w:tcPr>
            <w:tcW w:w="3655" w:type="dxa"/>
          </w:tcPr>
          <w:p w:rsidR="00850175" w:rsidRDefault="00850175" w:rsidP="00931468">
            <w:pPr>
              <w:pStyle w:val="ListParagraph"/>
              <w:ind w:left="0"/>
              <w:rPr>
                <w:b/>
                <w:bCs/>
              </w:rPr>
            </w:pPr>
          </w:p>
        </w:tc>
        <w:tc>
          <w:tcPr>
            <w:tcW w:w="3655" w:type="dxa"/>
          </w:tcPr>
          <w:p w:rsidR="00850175" w:rsidRDefault="00850175" w:rsidP="00931468">
            <w:pPr>
              <w:pStyle w:val="ListParagraph"/>
              <w:ind w:left="0"/>
              <w:rPr>
                <w:b/>
                <w:bCs/>
              </w:rPr>
            </w:pPr>
          </w:p>
        </w:tc>
      </w:tr>
      <w:tr w:rsidR="00850175" w:rsidTr="00850175">
        <w:trPr>
          <w:jc w:val="center"/>
        </w:trPr>
        <w:tc>
          <w:tcPr>
            <w:tcW w:w="3655" w:type="dxa"/>
          </w:tcPr>
          <w:p w:rsidR="00850175" w:rsidRDefault="00850175" w:rsidP="00931468">
            <w:pPr>
              <w:pStyle w:val="ListParagraph"/>
              <w:ind w:left="0"/>
              <w:rPr>
                <w:b/>
                <w:bCs/>
                <w:noProof/>
              </w:rPr>
            </w:pPr>
          </w:p>
        </w:tc>
        <w:tc>
          <w:tcPr>
            <w:tcW w:w="3655" w:type="dxa"/>
          </w:tcPr>
          <w:p w:rsidR="00850175" w:rsidRDefault="00850175" w:rsidP="00931468">
            <w:pPr>
              <w:pStyle w:val="ListParagraph"/>
              <w:ind w:left="0"/>
              <w:rPr>
                <w:b/>
                <w:bCs/>
                <w:noProof/>
              </w:rPr>
            </w:pPr>
          </w:p>
        </w:tc>
      </w:tr>
      <w:tr w:rsidR="00850175" w:rsidTr="00235350">
        <w:trPr>
          <w:jc w:val="center"/>
        </w:trPr>
        <w:tc>
          <w:tcPr>
            <w:tcW w:w="7310" w:type="dxa"/>
            <w:gridSpan w:val="2"/>
          </w:tcPr>
          <w:p w:rsidR="00850175" w:rsidRDefault="00850175" w:rsidP="00850175">
            <w:pPr>
              <w:pStyle w:val="ListParagraph"/>
              <w:ind w:left="0"/>
              <w:jc w:val="center"/>
              <w:rPr>
                <w:b/>
                <w:bCs/>
                <w:noProof/>
              </w:rPr>
            </w:pPr>
          </w:p>
        </w:tc>
      </w:tr>
    </w:tbl>
    <w:p w:rsidR="00DD2659" w:rsidRDefault="00DD2659" w:rsidP="00931468">
      <w:pPr>
        <w:pStyle w:val="ListParagraph"/>
        <w:ind w:left="0"/>
        <w:rPr>
          <w:b/>
          <w:bCs/>
        </w:rPr>
      </w:pPr>
    </w:p>
    <w:p w:rsidR="00DD2659" w:rsidRPr="00931468" w:rsidRDefault="007409EB" w:rsidP="00931468">
      <w:pPr>
        <w:pStyle w:val="ListParagraph"/>
        <w:ind w:left="0"/>
        <w:jc w:val="center"/>
        <w:rPr>
          <w:b/>
          <w:bCs/>
        </w:rPr>
      </w:pPr>
      <w:r>
        <w:rPr>
          <w:noProof/>
        </w:rPr>
        <w:drawing>
          <wp:anchor distT="0" distB="0" distL="114300" distR="114300" simplePos="0" relativeHeight="251781120" behindDoc="0" locked="0" layoutInCell="1" allowOverlap="1" wp14:anchorId="79AAD603" wp14:editId="4427850C">
            <wp:simplePos x="0" y="0"/>
            <wp:positionH relativeFrom="column">
              <wp:posOffset>-142875</wp:posOffset>
            </wp:positionH>
            <wp:positionV relativeFrom="paragraph">
              <wp:posOffset>186055</wp:posOffset>
            </wp:positionV>
            <wp:extent cx="6315710" cy="3548777"/>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de3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15710" cy="3548777"/>
                    </a:xfrm>
                    <a:prstGeom prst="rect">
                      <a:avLst/>
                    </a:prstGeom>
                    <a:ln>
                      <a:noFill/>
                    </a:ln>
                  </pic:spPr>
                </pic:pic>
              </a:graphicData>
            </a:graphic>
            <wp14:sizeRelH relativeFrom="margin">
              <wp14:pctWidth>0</wp14:pctWidth>
            </wp14:sizeRelH>
            <wp14:sizeRelV relativeFrom="margin">
              <wp14:pctHeight>0</wp14:pctHeight>
            </wp14:sizeRelV>
          </wp:anchor>
        </w:drawing>
      </w:r>
    </w:p>
    <w:p w:rsidR="00FB3756" w:rsidRDefault="00FB3756">
      <w:bookmarkStart w:id="24" w:name="_Toc16611416"/>
    </w:p>
    <w:bookmarkEnd w:id="24"/>
    <w:p w:rsidR="00850175" w:rsidRDefault="00850175">
      <w:pPr>
        <w:spacing w:after="160" w:line="259" w:lineRule="auto"/>
        <w:rPr>
          <w:rFonts w:eastAsiaTheme="majorEastAsia" w:cstheme="minorHAnsi"/>
          <w:b/>
          <w:bCs/>
          <w:sz w:val="30"/>
          <w:szCs w:val="30"/>
        </w:rPr>
      </w:pPr>
      <w:r>
        <w:br w:type="page"/>
      </w:r>
    </w:p>
    <w:p w:rsidR="00A25615" w:rsidRDefault="00A25615" w:rsidP="00BD141D">
      <w:r>
        <w:rPr>
          <w:noProof/>
        </w:rPr>
        <w:lastRenderedPageBreak/>
        <w:drawing>
          <wp:inline distT="0" distB="0" distL="0" distR="0" wp14:anchorId="5CA6CB6B" wp14:editId="54563765">
            <wp:extent cx="2675309" cy="1505585"/>
            <wp:effectExtent l="19050" t="19050" r="1079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 We Know What We Dont Know Course fonts embedded.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12554" cy="1526545"/>
                    </a:xfrm>
                    <a:prstGeom prst="rect">
                      <a:avLst/>
                    </a:prstGeom>
                    <a:ln>
                      <a:solidFill>
                        <a:schemeClr val="tx1"/>
                      </a:solidFill>
                    </a:ln>
                  </pic:spPr>
                </pic:pic>
              </a:graphicData>
            </a:graphic>
          </wp:inline>
        </w:drawing>
      </w:r>
      <w:r>
        <w:rPr>
          <w:noProof/>
        </w:rPr>
        <w:drawing>
          <wp:inline distT="0" distB="0" distL="0" distR="0" wp14:anchorId="19841043" wp14:editId="059E5E88">
            <wp:extent cx="2667000" cy="1500188"/>
            <wp:effectExtent l="19050" t="19050" r="19050" b="2413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de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85509" cy="1510599"/>
                    </a:xfrm>
                    <a:prstGeom prst="rect">
                      <a:avLst/>
                    </a:prstGeom>
                    <a:ln>
                      <a:solidFill>
                        <a:schemeClr val="tx1"/>
                      </a:solidFill>
                    </a:ln>
                  </pic:spPr>
                </pic:pic>
              </a:graphicData>
            </a:graphic>
          </wp:inline>
        </w:drawing>
      </w:r>
    </w:p>
    <w:p w:rsidR="0029517A" w:rsidRDefault="0029517A" w:rsidP="0029517A">
      <w:pPr>
        <w:pStyle w:val="Heading3"/>
      </w:pPr>
      <w:bookmarkStart w:id="25" w:name="_Toc20256113"/>
      <w:r>
        <w:t>Exercise:</w:t>
      </w:r>
      <w:bookmarkEnd w:id="25"/>
    </w:p>
    <w:p w:rsidR="0029517A" w:rsidRDefault="0029517A" w:rsidP="0029517A"/>
    <w:p w:rsidR="0029517A" w:rsidRPr="00FB3756" w:rsidRDefault="0029517A" w:rsidP="0029517A">
      <w:pPr>
        <w:rPr>
          <w:b/>
          <w:bCs/>
          <w:sz w:val="28"/>
          <w:szCs w:val="28"/>
        </w:rPr>
      </w:pPr>
      <w:r w:rsidRPr="00FB3756">
        <w:rPr>
          <w:b/>
          <w:bCs/>
          <w:sz w:val="28"/>
          <w:szCs w:val="28"/>
        </w:rPr>
        <w:t>Is This Discrimination?</w:t>
      </w:r>
    </w:p>
    <w:p w:rsidR="0029517A" w:rsidRPr="00F72FCC" w:rsidRDefault="0029517A" w:rsidP="0029517A">
      <w:pPr>
        <w:pStyle w:val="Title"/>
      </w:pPr>
      <w:r w:rsidRPr="00F72FCC">
        <w:t>Exercise: Discriminatory Act or Not?</w:t>
      </w:r>
    </w:p>
    <w:p w:rsidR="0029517A" w:rsidRDefault="0029517A" w:rsidP="00503ED3">
      <w:pPr>
        <w:jc w:val="both"/>
      </w:pPr>
      <w:r w:rsidRPr="00F72FCC">
        <w:t>Answer “True” if you believe the action below is a discriminatory act and “False” if you believe it is not.  Remember your answer assumes the action is taken based on the person(s) being part of a federal, state and/or local protected class.</w:t>
      </w:r>
    </w:p>
    <w:p w:rsidR="0029517A" w:rsidRDefault="0029517A" w:rsidP="0029517A">
      <w:pPr>
        <w:jc w:val="center"/>
      </w:pPr>
    </w:p>
    <w:tbl>
      <w:tblPr>
        <w:tblStyle w:val="TableGrid"/>
        <w:tblW w:w="10075" w:type="dxa"/>
        <w:tblLook w:val="04A0" w:firstRow="1" w:lastRow="0" w:firstColumn="1" w:lastColumn="0" w:noHBand="0" w:noVBand="1"/>
      </w:tblPr>
      <w:tblGrid>
        <w:gridCol w:w="1075"/>
        <w:gridCol w:w="9000"/>
      </w:tblGrid>
      <w:tr w:rsidR="0029517A" w:rsidRPr="00F72FCC" w:rsidTr="00881710">
        <w:trPr>
          <w:trHeight w:hRule="exact" w:val="802"/>
        </w:trPr>
        <w:tc>
          <w:tcPr>
            <w:tcW w:w="1075" w:type="dxa"/>
            <w:shd w:val="clear" w:color="auto" w:fill="D0CECE" w:themeFill="background2" w:themeFillShade="E6"/>
            <w:vAlign w:val="center"/>
          </w:tcPr>
          <w:p w:rsidR="0029517A" w:rsidRDefault="0029517A" w:rsidP="00AB2C1B">
            <w:pPr>
              <w:rPr>
                <w:sz w:val="28"/>
                <w:szCs w:val="28"/>
              </w:rPr>
            </w:pPr>
            <w:r w:rsidRPr="00F72FCC">
              <w:rPr>
                <w:sz w:val="28"/>
                <w:szCs w:val="28"/>
              </w:rPr>
              <w:t>True/</w:t>
            </w:r>
          </w:p>
          <w:p w:rsidR="0029517A" w:rsidRPr="00F72FCC" w:rsidRDefault="0029517A" w:rsidP="00AB2C1B">
            <w:pPr>
              <w:rPr>
                <w:sz w:val="28"/>
                <w:szCs w:val="28"/>
              </w:rPr>
            </w:pPr>
            <w:r w:rsidRPr="00F72FCC">
              <w:rPr>
                <w:sz w:val="28"/>
                <w:szCs w:val="28"/>
              </w:rPr>
              <w:t>False</w:t>
            </w:r>
          </w:p>
        </w:tc>
        <w:tc>
          <w:tcPr>
            <w:tcW w:w="9000" w:type="dxa"/>
            <w:shd w:val="clear" w:color="auto" w:fill="D0CECE" w:themeFill="background2" w:themeFillShade="E6"/>
            <w:vAlign w:val="center"/>
          </w:tcPr>
          <w:p w:rsidR="0029517A" w:rsidRPr="00F72FCC" w:rsidRDefault="0029517A" w:rsidP="00AB2C1B">
            <w:pPr>
              <w:jc w:val="center"/>
              <w:rPr>
                <w:sz w:val="28"/>
                <w:szCs w:val="28"/>
              </w:rPr>
            </w:pPr>
            <w:r w:rsidRPr="00F72FCC">
              <w:rPr>
                <w:sz w:val="28"/>
                <w:szCs w:val="28"/>
              </w:rPr>
              <w:t>Action</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Refusing to sell or rent housing</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Refusing to negotiate for housing (unless limited by state agency law)</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Setting different terms, conditions or privileges for sale or rent of a dwelling</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Providing different housing services or facilities</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Falsely denying that housing is available for inspection, sale or rental</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Persuading owners to sell or rent because of changes in neighborhood composition (aka, Blockbusting or panic selling)</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Complying with buyers who specifically ask to see properties in neighborhoods where people share their racial/cultural background</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Refusing to make mortgage loan to an otherwise qualified buyer</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Suggesting a particular kind of mortgage on the basis of race, culture, religion, etc.</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Imposing different terms or conditions on a loan (such as interest rates, points or fees)</w:t>
            </w:r>
          </w:p>
        </w:tc>
      </w:tr>
      <w:tr w:rsidR="0029517A" w:rsidRPr="00F72FCC" w:rsidTr="00881710">
        <w:trPr>
          <w:trHeight w:val="576"/>
        </w:trPr>
        <w:tc>
          <w:tcPr>
            <w:tcW w:w="1075" w:type="dxa"/>
            <w:vAlign w:val="center"/>
          </w:tcPr>
          <w:p w:rsidR="0029517A" w:rsidRPr="00212325" w:rsidRDefault="00881710" w:rsidP="00AB2C1B">
            <w:r w:rsidRPr="00212325">
              <w:t>T |</w:t>
            </w:r>
            <w:r w:rsidR="0029517A" w:rsidRPr="00212325">
              <w:t xml:space="preserve">   F</w:t>
            </w:r>
          </w:p>
        </w:tc>
        <w:tc>
          <w:tcPr>
            <w:tcW w:w="9000" w:type="dxa"/>
            <w:vAlign w:val="center"/>
          </w:tcPr>
          <w:p w:rsidR="0029517A" w:rsidRPr="00212325" w:rsidRDefault="0029517A" w:rsidP="00AB2C1B">
            <w:r w:rsidRPr="00212325">
              <w:t>Advertising or making a statement that indicates a limitation or preference connected with the sale or rental of housing</w:t>
            </w:r>
          </w:p>
        </w:tc>
      </w:tr>
    </w:tbl>
    <w:p w:rsidR="00FB3756" w:rsidRDefault="00FB3756" w:rsidP="00881710">
      <w:pPr>
        <w:jc w:val="center"/>
      </w:pPr>
      <w:r>
        <w:br w:type="page"/>
      </w:r>
    </w:p>
    <w:p w:rsidR="00F50F71" w:rsidRDefault="00A25615" w:rsidP="00FA3ABC">
      <w:pPr>
        <w:jc w:val="center"/>
      </w:pPr>
      <w:bookmarkStart w:id="26" w:name="_Toc16611425"/>
      <w:r>
        <w:rPr>
          <w:noProof/>
        </w:rPr>
        <w:lastRenderedPageBreak/>
        <w:drawing>
          <wp:inline distT="0" distB="0" distL="0" distR="0" wp14:anchorId="74506896" wp14:editId="07201E9F">
            <wp:extent cx="5149770" cy="2895600"/>
            <wp:effectExtent l="19050" t="19050" r="13335" b="190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de3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59590" cy="2901122"/>
                    </a:xfrm>
                    <a:prstGeom prst="rect">
                      <a:avLst/>
                    </a:prstGeom>
                    <a:ln>
                      <a:solidFill>
                        <a:schemeClr val="tx1"/>
                      </a:solidFill>
                    </a:ln>
                  </pic:spPr>
                </pic:pic>
              </a:graphicData>
            </a:graphic>
          </wp:inline>
        </w:drawing>
      </w:r>
    </w:p>
    <w:p w:rsidR="008B68EB" w:rsidRDefault="008B68EB" w:rsidP="008B68EB">
      <w:pPr>
        <w:pStyle w:val="Heading3"/>
      </w:pPr>
      <w:bookmarkStart w:id="27" w:name="_Toc20256114"/>
      <w:r>
        <w:t>Group Discussion: The Sting of Discrimination</w:t>
      </w:r>
      <w:bookmarkEnd w:id="27"/>
    </w:p>
    <w:p w:rsidR="008B68EB" w:rsidRDefault="008B68EB" w:rsidP="008B68EB"/>
    <w:p w:rsidR="008B68EB" w:rsidRPr="007440B7" w:rsidRDefault="008B68EB" w:rsidP="008B68EB">
      <w:pPr>
        <w:pStyle w:val="Title"/>
      </w:pPr>
      <w:r w:rsidRPr="00995E88">
        <w:t>Co</w:t>
      </w:r>
      <w:r w:rsidRPr="007440B7">
        <w:t>urt to Reconsider Fair Housing Lawsuit </w:t>
      </w:r>
    </w:p>
    <w:p w:rsidR="008B68EB" w:rsidRPr="007440B7" w:rsidRDefault="008B68EB" w:rsidP="008B68EB">
      <w:pPr>
        <w:rPr>
          <w:sz w:val="28"/>
          <w:szCs w:val="28"/>
        </w:rPr>
      </w:pPr>
      <w:r w:rsidRPr="00F72FCC">
        <w:rPr>
          <w:rStyle w:val="date-display-single"/>
          <w:sz w:val="28"/>
          <w:szCs w:val="28"/>
        </w:rPr>
        <w:t>August 28, 2013</w:t>
      </w:r>
      <w:r>
        <w:rPr>
          <w:sz w:val="28"/>
          <w:szCs w:val="28"/>
        </w:rPr>
        <w:t xml:space="preserve">   </w:t>
      </w:r>
      <w:hyperlink r:id="rId47" w:history="1">
        <w:r w:rsidRPr="00F72FCC">
          <w:rPr>
            <w:rStyle w:val="Hyperlink"/>
            <w:color w:val="auto"/>
            <w:sz w:val="28"/>
            <w:szCs w:val="28"/>
          </w:rPr>
          <w:t>Fair Housing Act</w:t>
        </w:r>
      </w:hyperlink>
    </w:p>
    <w:p w:rsidR="008B68EB" w:rsidRPr="007440B7" w:rsidRDefault="008B68EB" w:rsidP="008B68EB">
      <w:pPr>
        <w:spacing w:after="360"/>
        <w:rPr>
          <w:color w:val="231B18"/>
          <w:sz w:val="22"/>
          <w:szCs w:val="22"/>
        </w:rPr>
      </w:pPr>
      <w:r w:rsidRPr="007440B7">
        <w:rPr>
          <w:color w:val="231B18"/>
          <w:sz w:val="22"/>
          <w:szCs w:val="22"/>
        </w:rPr>
        <w:t>A federal appeals court examined whether an ad for a rental unit claiming that the unit was a “great bachelor pad” violated the federal Fair Housing Act (“FHA”).</w:t>
      </w:r>
    </w:p>
    <w:p w:rsidR="008B68EB" w:rsidRPr="007440B7" w:rsidRDefault="008B68EB" w:rsidP="008B68EB">
      <w:pPr>
        <w:spacing w:after="360"/>
        <w:rPr>
          <w:color w:val="231B18"/>
          <w:sz w:val="22"/>
          <w:szCs w:val="22"/>
        </w:rPr>
      </w:pPr>
      <w:r w:rsidRPr="007440B7">
        <w:rPr>
          <w:color w:val="231B18"/>
          <w:sz w:val="22"/>
          <w:szCs w:val="22"/>
        </w:rPr>
        <w:t>In 2009, Rachel Underwood, a listing representative for the property management firm The Connor Group (“Property Manager”), placed an advertisement (“Ad”) for a unit on Craigslist that stated, in relevant part: “Great Bachelor Pad!  Our one-bedroom apartments are a great bachelor pad for any single man looking to hook up…”</w:t>
      </w:r>
    </w:p>
    <w:p w:rsidR="008B68EB" w:rsidRPr="007440B7" w:rsidRDefault="008B68EB" w:rsidP="008B68EB">
      <w:pPr>
        <w:spacing w:after="360"/>
        <w:rPr>
          <w:color w:val="231B18"/>
          <w:sz w:val="22"/>
          <w:szCs w:val="22"/>
        </w:rPr>
      </w:pPr>
      <w:r w:rsidRPr="007440B7">
        <w:rPr>
          <w:color w:val="231B18"/>
          <w:sz w:val="22"/>
          <w:szCs w:val="22"/>
        </w:rPr>
        <w:t>In 2010, the Miami Valley Fair Housing Center (“Housing Center”) filed a lawsuit against the Property Manager, alleging that Underwood’s ad and thirteen other ads violated the FHA as well as the Ohio state fair housing laws (the Housing Center later dismissed the other 13 ads from the lawsuit).</w:t>
      </w:r>
    </w:p>
    <w:p w:rsidR="008B68EB" w:rsidRPr="007440B7" w:rsidRDefault="008B68EB" w:rsidP="008B68EB">
      <w:pPr>
        <w:spacing w:after="360"/>
        <w:rPr>
          <w:color w:val="231B18"/>
          <w:sz w:val="22"/>
          <w:szCs w:val="22"/>
        </w:rPr>
      </w:pPr>
      <w:r w:rsidRPr="007440B7">
        <w:rPr>
          <w:color w:val="231B18"/>
          <w:sz w:val="22"/>
          <w:szCs w:val="22"/>
        </w:rPr>
        <w:t>The FHA makes it illegal to “make, print, or publish, or cause to be made, printed, or published any…advertisement, with respect to the sale or rental of a dwelling that indicates any preference, limitation, or discrimination based on race, color, religion, sex, handicap, familial status, or national origin.”  This court uses the “ordinary reader” test to determine whether an ad violates the FHA, and this test focuses on whether the ad would suggest to an ordinary read that a particular group is “preferred or dis-preferred” for housing because of a prohibited factor in the statute.</w:t>
      </w:r>
    </w:p>
    <w:p w:rsidR="008B68EB" w:rsidRPr="007440B7" w:rsidRDefault="008B68EB" w:rsidP="008B68EB">
      <w:pPr>
        <w:spacing w:after="360"/>
        <w:rPr>
          <w:color w:val="231B18"/>
          <w:sz w:val="22"/>
          <w:szCs w:val="22"/>
        </w:rPr>
      </w:pPr>
      <w:r w:rsidRPr="007440B7">
        <w:rPr>
          <w:color w:val="231B18"/>
          <w:sz w:val="22"/>
          <w:szCs w:val="22"/>
        </w:rPr>
        <w:t>The Housing Center argued that the Ad was facially discriminatory to both families and women.  The case went to trial, and the jury found in favor of the Property Manager.  The Housing Center appealed the verdict.</w:t>
      </w:r>
    </w:p>
    <w:p w:rsidR="008B68EB" w:rsidRPr="007440B7" w:rsidRDefault="008B68EB" w:rsidP="008B68EB">
      <w:pPr>
        <w:spacing w:after="360"/>
        <w:rPr>
          <w:color w:val="231B18"/>
          <w:sz w:val="22"/>
          <w:szCs w:val="22"/>
        </w:rPr>
      </w:pPr>
      <w:r w:rsidRPr="007440B7">
        <w:rPr>
          <w:color w:val="231B18"/>
          <w:sz w:val="22"/>
          <w:szCs w:val="22"/>
        </w:rPr>
        <w:t xml:space="preserve">The United States Court of Appeals for the Sixth Circuit partially reversed the lower court and ordered a new trial.   The Housing Center challenged the instructions that the trial court gave to the jury about the type of advertisement that would violate the FHA.  The instructions given to the jury stated that if the </w:t>
      </w:r>
      <w:r w:rsidRPr="007440B7">
        <w:rPr>
          <w:color w:val="231B18"/>
          <w:sz w:val="22"/>
          <w:szCs w:val="22"/>
        </w:rPr>
        <w:lastRenderedPageBreak/>
        <w:t>Ad suggested to the renter that the property was suitable for him/her, then the ad would not violate the FHA.</w:t>
      </w:r>
    </w:p>
    <w:p w:rsidR="008B68EB" w:rsidRPr="007440B7" w:rsidRDefault="008B68EB" w:rsidP="008B68EB">
      <w:pPr>
        <w:spacing w:after="360"/>
        <w:rPr>
          <w:color w:val="231B18"/>
          <w:sz w:val="22"/>
          <w:szCs w:val="22"/>
        </w:rPr>
      </w:pPr>
      <w:r w:rsidRPr="007440B7">
        <w:rPr>
          <w:color w:val="231B18"/>
          <w:sz w:val="22"/>
          <w:szCs w:val="22"/>
        </w:rPr>
        <w:t>The court ruled that the jury instructions had not properly described the “ordinary reader” standard, causing prejudice to the Housing Center that required reversal of the jury verdict and a new trial.  The jury instruction focused on the renter’s suitability, which is not the correct focus and could find ads permissible that violate the FHA, such as an ad stating that the property was “great for people who like white neighbors”.  In fact, the jury could have only reached one conclusion when looking at the trial court’s instructions, since the ad suggested that the apartment was suitable for a particular type of renter, a single man.  Because the instructions were so erroneous, they caused prejudice to the Housing Center and so required the court to order a new trial.  Thus, the court reversed the trial court and sent the case back to the lower court for further proceedings.</w:t>
      </w:r>
    </w:p>
    <w:p w:rsidR="00A25615" w:rsidRDefault="008B68EB" w:rsidP="003D24EA">
      <w:pPr>
        <w:spacing w:after="360"/>
        <w:rPr>
          <w:color w:val="231B18"/>
          <w:sz w:val="18"/>
          <w:szCs w:val="18"/>
        </w:rPr>
      </w:pPr>
      <w:r w:rsidRPr="007440B7">
        <w:rPr>
          <w:rStyle w:val="Strong"/>
          <w:i/>
          <w:iCs/>
          <w:color w:val="231B18"/>
          <w:sz w:val="18"/>
          <w:szCs w:val="18"/>
        </w:rPr>
        <w:t xml:space="preserve">Miami Valley Fair </w:t>
      </w:r>
      <w:proofErr w:type="spellStart"/>
      <w:r w:rsidRPr="007440B7">
        <w:rPr>
          <w:rStyle w:val="Strong"/>
          <w:i/>
          <w:iCs/>
          <w:color w:val="231B18"/>
          <w:sz w:val="18"/>
          <w:szCs w:val="18"/>
        </w:rPr>
        <w:t>Hous</w:t>
      </w:r>
      <w:proofErr w:type="spellEnd"/>
      <w:r w:rsidRPr="007440B7">
        <w:rPr>
          <w:rStyle w:val="Strong"/>
          <w:i/>
          <w:iCs/>
          <w:color w:val="231B18"/>
          <w:sz w:val="18"/>
          <w:szCs w:val="18"/>
        </w:rPr>
        <w:t>. Ctr., Inc. v. Connor Grp.</w:t>
      </w:r>
      <w:r w:rsidRPr="007440B7">
        <w:rPr>
          <w:color w:val="231B18"/>
          <w:sz w:val="18"/>
          <w:szCs w:val="18"/>
        </w:rPr>
        <w:t>, No. 12-3284, 2013 WL 3968768 (6th Cir. Aug. 5, 2013).  [This is a citation to a Westlaw document.  Westlaw is a subscription, online legal research service.  If an official reporter citation should become available for this case, the citation will be updated to reflect this information</w:t>
      </w:r>
    </w:p>
    <w:p w:rsidR="00A25615" w:rsidRDefault="00A25615" w:rsidP="003D24EA">
      <w:pPr>
        <w:spacing w:after="360"/>
        <w:rPr>
          <w:color w:val="231B18"/>
          <w:sz w:val="18"/>
          <w:szCs w:val="18"/>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bottom w:val="single" w:sz="4" w:space="0" w:color="auto"/>
            </w:tcBorders>
          </w:tcPr>
          <w:p w:rsidR="00A25615" w:rsidRDefault="00A25615" w:rsidP="003D24EA">
            <w:pPr>
              <w:spacing w:after="360"/>
              <w:rPr>
                <w:color w:val="231B18"/>
                <w:sz w:val="18"/>
                <w:szCs w:val="18"/>
              </w:rPr>
            </w:pPr>
          </w:p>
        </w:tc>
      </w:tr>
      <w:tr w:rsidR="00A25615" w:rsidTr="00A25615">
        <w:tc>
          <w:tcPr>
            <w:tcW w:w="9350" w:type="dxa"/>
            <w:tcBorders>
              <w:top w:val="single" w:sz="4" w:space="0" w:color="auto"/>
            </w:tcBorders>
          </w:tcPr>
          <w:p w:rsidR="00A25615" w:rsidRDefault="00A25615" w:rsidP="003D24EA">
            <w:pPr>
              <w:spacing w:after="360"/>
              <w:rPr>
                <w:color w:val="231B18"/>
                <w:sz w:val="18"/>
                <w:szCs w:val="18"/>
              </w:rPr>
            </w:pPr>
          </w:p>
        </w:tc>
      </w:tr>
    </w:tbl>
    <w:p w:rsidR="00D429B9" w:rsidRDefault="00D429B9" w:rsidP="00D429B9"/>
    <w:p w:rsidR="00D429B9" w:rsidRDefault="00D429B9" w:rsidP="008B68EB">
      <w:pPr>
        <w:jc w:val="center"/>
      </w:pPr>
      <w:r>
        <w:rPr>
          <w:noProof/>
        </w:rPr>
        <w:lastRenderedPageBreak/>
        <w:drawing>
          <wp:inline distT="0" distB="0" distL="0" distR="0" wp14:anchorId="3774446B" wp14:editId="02718AE0">
            <wp:extent cx="4830865" cy="2714625"/>
            <wp:effectExtent l="19050" t="19050" r="2730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de3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46055" cy="2723161"/>
                    </a:xfrm>
                    <a:prstGeom prst="rect">
                      <a:avLst/>
                    </a:prstGeom>
                    <a:ln>
                      <a:solidFill>
                        <a:schemeClr val="tx1"/>
                      </a:solidFill>
                    </a:ln>
                  </pic:spPr>
                </pic:pic>
              </a:graphicData>
            </a:graphic>
          </wp:inline>
        </w:drawing>
      </w:r>
    </w:p>
    <w:p w:rsidR="00D429B9" w:rsidRDefault="00D429B9" w:rsidP="00D429B9"/>
    <w:p w:rsidR="008B68EB" w:rsidRDefault="008B68EB" w:rsidP="00D429B9">
      <w:pPr>
        <w:jc w:val="center"/>
      </w:pPr>
      <w:r>
        <w:rPr>
          <w:noProof/>
        </w:rPr>
        <w:drawing>
          <wp:inline distT="0" distB="0" distL="0" distR="0" wp14:anchorId="1BC887AF" wp14:editId="2A8AAEBE">
            <wp:extent cx="4019550" cy="2258720"/>
            <wp:effectExtent l="19050" t="19050" r="19050" b="2730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de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62632" cy="2282929"/>
                    </a:xfrm>
                    <a:prstGeom prst="rect">
                      <a:avLst/>
                    </a:prstGeom>
                    <a:ln>
                      <a:solidFill>
                        <a:schemeClr val="tx1"/>
                      </a:solidFill>
                    </a:ln>
                  </pic:spPr>
                </pic:pic>
              </a:graphicData>
            </a:graphic>
          </wp:inline>
        </w:drawing>
      </w:r>
    </w:p>
    <w:bookmarkEnd w:id="26"/>
    <w:p w:rsidR="00E50159" w:rsidRDefault="00D429B9" w:rsidP="0029517A">
      <w:r>
        <w:rPr>
          <w:noProof/>
        </w:rPr>
        <w:drawing>
          <wp:anchor distT="0" distB="0" distL="114300" distR="114300" simplePos="0" relativeHeight="251662336" behindDoc="0" locked="0" layoutInCell="1" allowOverlap="1" wp14:anchorId="678660D5" wp14:editId="07FAD7D7">
            <wp:simplePos x="0" y="0"/>
            <wp:positionH relativeFrom="column">
              <wp:posOffset>-127635</wp:posOffset>
            </wp:positionH>
            <wp:positionV relativeFrom="paragraph">
              <wp:posOffset>75565</wp:posOffset>
            </wp:positionV>
            <wp:extent cx="6061765" cy="3409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hri.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61765" cy="3409950"/>
                    </a:xfrm>
                    <a:prstGeom prst="rect">
                      <a:avLst/>
                    </a:prstGeom>
                    <a:ln>
                      <a:noFill/>
                    </a:ln>
                  </pic:spPr>
                </pic:pic>
              </a:graphicData>
            </a:graphic>
            <wp14:sizeRelH relativeFrom="margin">
              <wp14:pctWidth>0</wp14:pctWidth>
            </wp14:sizeRelH>
            <wp14:sizeRelV relativeFrom="margin">
              <wp14:pctHeight>0</wp14:pctHeight>
            </wp14:sizeRelV>
          </wp:anchor>
        </w:drawing>
      </w:r>
    </w:p>
    <w:p w:rsidR="00E50159" w:rsidRDefault="00E50159" w:rsidP="0029517A"/>
    <w:p w:rsidR="00A87917" w:rsidRDefault="00A87917" w:rsidP="0029517A"/>
    <w:p w:rsidR="00A87917" w:rsidRDefault="00A87917" w:rsidP="0029517A"/>
    <w:p w:rsidR="00A87917" w:rsidRDefault="00A87917" w:rsidP="0029517A"/>
    <w:p w:rsidR="00A87917" w:rsidRDefault="00A87917" w:rsidP="0029517A"/>
    <w:p w:rsidR="00A87917" w:rsidRDefault="00A87917" w:rsidP="0029517A"/>
    <w:p w:rsidR="00A87917" w:rsidRDefault="00A87917" w:rsidP="0029517A"/>
    <w:p w:rsidR="00E50159" w:rsidRDefault="00E50159" w:rsidP="0029517A"/>
    <w:p w:rsidR="0029517A" w:rsidRDefault="0029517A" w:rsidP="0029517A"/>
    <w:p w:rsidR="003D24EA" w:rsidRDefault="003D24EA" w:rsidP="00420E63">
      <w:pPr>
        <w:spacing w:after="160" w:line="259" w:lineRule="auto"/>
        <w:jc w:val="center"/>
      </w:pPr>
    </w:p>
    <w:p w:rsidR="00A25615" w:rsidRDefault="00A25615" w:rsidP="00420E63">
      <w:pPr>
        <w:spacing w:after="160" w:line="259" w:lineRule="auto"/>
        <w:jc w:val="center"/>
      </w:pPr>
    </w:p>
    <w:p w:rsidR="00A25615" w:rsidRDefault="00A25615" w:rsidP="00420E63">
      <w:pPr>
        <w:spacing w:after="160" w:line="259" w:lineRule="auto"/>
        <w:jc w:val="center"/>
      </w:pPr>
    </w:p>
    <w:p w:rsidR="003D24EA" w:rsidRDefault="003D24EA" w:rsidP="00420E63">
      <w:pPr>
        <w:spacing w:after="160" w:line="259" w:lineRule="auto"/>
        <w:jc w:val="center"/>
      </w:pPr>
    </w:p>
    <w:p w:rsidR="003D24EA" w:rsidRDefault="003D24EA" w:rsidP="00D429B9">
      <w:pPr>
        <w:spacing w:after="160" w:line="259" w:lineRule="auto"/>
      </w:pPr>
    </w:p>
    <w:p w:rsidR="00E50159" w:rsidRDefault="00420E63" w:rsidP="00D429B9">
      <w:pPr>
        <w:spacing w:after="160" w:line="259" w:lineRule="auto"/>
        <w:jc w:val="center"/>
      </w:pPr>
      <w:r>
        <w:rPr>
          <w:noProof/>
        </w:rPr>
        <w:lastRenderedPageBreak/>
        <w:drawing>
          <wp:inline distT="0" distB="0" distL="0" distR="0" wp14:anchorId="6077CEF4" wp14:editId="56031567">
            <wp:extent cx="3630168" cy="2039112"/>
            <wp:effectExtent l="19050" t="19050" r="27940" b="184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de3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30168" cy="2039112"/>
                    </a:xfrm>
                    <a:prstGeom prst="rect">
                      <a:avLst/>
                    </a:prstGeom>
                    <a:ln>
                      <a:solidFill>
                        <a:schemeClr val="tx1"/>
                      </a:solidFill>
                    </a:ln>
                  </pic:spPr>
                </pic:pic>
              </a:graphicData>
            </a:graphic>
          </wp:inline>
        </w:drawing>
      </w:r>
    </w:p>
    <w:p w:rsidR="00F44490" w:rsidRPr="00F44490" w:rsidRDefault="00F44490" w:rsidP="0023559A">
      <w:pPr>
        <w:pStyle w:val="Heading2"/>
      </w:pPr>
      <w:bookmarkStart w:id="28" w:name="_Toc20256115"/>
      <w:r>
        <w:rPr>
          <w:noProof/>
        </w:rPr>
        <w:drawing>
          <wp:anchor distT="0" distB="0" distL="114300" distR="114300" simplePos="0" relativeHeight="251782144" behindDoc="0" locked="0" layoutInCell="1" allowOverlap="1" wp14:anchorId="1967DAEF" wp14:editId="40D8E19E">
            <wp:simplePos x="0" y="0"/>
            <wp:positionH relativeFrom="column">
              <wp:posOffset>666750</wp:posOffset>
            </wp:positionH>
            <wp:positionV relativeFrom="paragraph">
              <wp:posOffset>1645920</wp:posOffset>
            </wp:positionV>
            <wp:extent cx="4572000" cy="257175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de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a:ln>
                      <a:noFill/>
                    </a:ln>
                  </pic:spPr>
                </pic:pic>
              </a:graphicData>
            </a:graphic>
          </wp:anchor>
        </w:drawing>
      </w:r>
      <w:r w:rsidR="00155E6C" w:rsidRPr="00DA2B6B">
        <w:rPr>
          <w:noProof/>
        </w:rPr>
        <w:drawing>
          <wp:anchor distT="0" distB="0" distL="114300" distR="114300" simplePos="0" relativeHeight="251734016" behindDoc="1" locked="0" layoutInCell="1" allowOverlap="1" wp14:anchorId="62223A01" wp14:editId="1F50B6D8">
            <wp:simplePos x="0" y="0"/>
            <wp:positionH relativeFrom="column">
              <wp:posOffset>1152525</wp:posOffset>
            </wp:positionH>
            <wp:positionV relativeFrom="paragraph">
              <wp:posOffset>293370</wp:posOffset>
            </wp:positionV>
            <wp:extent cx="3658235" cy="2057400"/>
            <wp:effectExtent l="0" t="0" r="0" b="0"/>
            <wp:wrapTopAndBottom/>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de3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658235" cy="2057400"/>
                    </a:xfrm>
                    <a:prstGeom prst="rect">
                      <a:avLst/>
                    </a:prstGeom>
                    <a:ln>
                      <a:noFill/>
                    </a:ln>
                  </pic:spPr>
                </pic:pic>
              </a:graphicData>
            </a:graphic>
          </wp:anchor>
        </w:drawing>
      </w:r>
      <w:r w:rsidR="00E50159" w:rsidRPr="00DA2B6B">
        <w:t xml:space="preserve">PART 2: A Murderer </w:t>
      </w:r>
      <w:proofErr w:type="gramStart"/>
      <w:r w:rsidR="00E50159" w:rsidRPr="00DA2B6B">
        <w:t>With</w:t>
      </w:r>
      <w:proofErr w:type="gramEnd"/>
      <w:r w:rsidR="00E50159" w:rsidRPr="00F72FCC">
        <w:t xml:space="preserve"> a Pitbull – Part 1</w:t>
      </w:r>
      <w:bookmarkEnd w:id="28"/>
    </w:p>
    <w:p w:rsidR="00F44490" w:rsidRPr="00F44490" w:rsidRDefault="00F44490" w:rsidP="00F44490"/>
    <w:p w:rsidR="00993917" w:rsidRDefault="00993917" w:rsidP="00E50159">
      <w:pPr>
        <w:pStyle w:val="Heading3"/>
        <w:pBdr>
          <w:bottom w:val="none" w:sz="0" w:space="0" w:color="auto"/>
        </w:pBdr>
      </w:pPr>
    </w:p>
    <w:p w:rsidR="00993917" w:rsidRDefault="00993917" w:rsidP="00993917"/>
    <w:p w:rsidR="00993917" w:rsidRDefault="00993917" w:rsidP="00993917"/>
    <w:p w:rsidR="00993917" w:rsidRDefault="00993917" w:rsidP="00993917"/>
    <w:p w:rsidR="00993917" w:rsidRDefault="00993917" w:rsidP="00993917"/>
    <w:p w:rsidR="00993917" w:rsidRDefault="00993917" w:rsidP="00993917"/>
    <w:p w:rsidR="00993917" w:rsidRPr="00993917" w:rsidRDefault="00993917" w:rsidP="00993917">
      <w:r>
        <w:rPr>
          <w:noProof/>
        </w:rPr>
        <w:drawing>
          <wp:anchor distT="0" distB="0" distL="114300" distR="114300" simplePos="0" relativeHeight="251783168" behindDoc="0" locked="0" layoutInCell="1" allowOverlap="1" wp14:anchorId="11CCE0B8" wp14:editId="4D7F2448">
            <wp:simplePos x="0" y="0"/>
            <wp:positionH relativeFrom="column">
              <wp:posOffset>733425</wp:posOffset>
            </wp:positionH>
            <wp:positionV relativeFrom="paragraph">
              <wp:posOffset>35560</wp:posOffset>
            </wp:positionV>
            <wp:extent cx="4572000" cy="257175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de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72000" cy="2571750"/>
                    </a:xfrm>
                    <a:prstGeom prst="rect">
                      <a:avLst/>
                    </a:prstGeom>
                  </pic:spPr>
                </pic:pic>
              </a:graphicData>
            </a:graphic>
          </wp:anchor>
        </w:drawing>
      </w: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23559A">
      <w:r>
        <w:rPr>
          <w:noProof/>
        </w:rPr>
        <w:lastRenderedPageBreak/>
        <w:drawing>
          <wp:anchor distT="0" distB="0" distL="114300" distR="114300" simplePos="0" relativeHeight="251784192" behindDoc="0" locked="0" layoutInCell="1" allowOverlap="1" wp14:anchorId="1B953DC6" wp14:editId="225DE9C4">
            <wp:simplePos x="0" y="0"/>
            <wp:positionH relativeFrom="column">
              <wp:posOffset>666749</wp:posOffset>
            </wp:positionH>
            <wp:positionV relativeFrom="paragraph">
              <wp:posOffset>-323850</wp:posOffset>
            </wp:positionV>
            <wp:extent cx="4589905" cy="2581275"/>
            <wp:effectExtent l="0" t="0" r="127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Slide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93222" cy="2583140"/>
                    </a:xfrm>
                    <a:prstGeom prst="rect">
                      <a:avLst/>
                    </a:prstGeom>
                  </pic:spPr>
                </pic:pic>
              </a:graphicData>
            </a:graphic>
            <wp14:sizeRelH relativeFrom="margin">
              <wp14:pctWidth>0</wp14:pctWidth>
            </wp14:sizeRelH>
            <wp14:sizeRelV relativeFrom="margin">
              <wp14:pctHeight>0</wp14:pctHeight>
            </wp14:sizeRelV>
          </wp:anchor>
        </w:drawing>
      </w: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993917" w:rsidRDefault="00993917" w:rsidP="00E50159">
      <w:pPr>
        <w:pStyle w:val="Heading3"/>
        <w:pBdr>
          <w:bottom w:val="none" w:sz="0" w:space="0" w:color="auto"/>
        </w:pBdr>
      </w:pPr>
    </w:p>
    <w:p w:rsidR="00E50159" w:rsidRDefault="00E50159" w:rsidP="00E50159">
      <w:pPr>
        <w:pStyle w:val="Heading3"/>
        <w:pBdr>
          <w:bottom w:val="none" w:sz="0" w:space="0" w:color="auto"/>
        </w:pBdr>
      </w:pPr>
      <w:bookmarkStart w:id="29" w:name="_Toc20256116"/>
      <w:r>
        <w:t>Introduction to Disparate Impact</w:t>
      </w:r>
      <w:bookmarkEnd w:id="29"/>
    </w:p>
    <w:p w:rsidR="00E50159" w:rsidRPr="00420E63" w:rsidRDefault="00E50159" w:rsidP="00420E63">
      <w:pPr>
        <w:pStyle w:val="Title"/>
        <w:rPr>
          <w:rStyle w:val="date-display-single"/>
          <w:b/>
          <w:bCs/>
        </w:rPr>
      </w:pPr>
      <w:r w:rsidRPr="00F72FCC">
        <w:t>FHA Disparate-Impact Liability Upheld</w:t>
      </w:r>
    </w:p>
    <w:p w:rsidR="00E50159" w:rsidRPr="00F72FCC" w:rsidRDefault="00E50159" w:rsidP="00E50159">
      <w:pPr>
        <w:rPr>
          <w:sz w:val="21"/>
          <w:szCs w:val="21"/>
        </w:rPr>
      </w:pPr>
      <w:r w:rsidRPr="00F72FCC">
        <w:rPr>
          <w:rStyle w:val="date-display-single"/>
          <w:sz w:val="21"/>
          <w:szCs w:val="21"/>
        </w:rPr>
        <w:t>December 9, 2016</w:t>
      </w:r>
    </w:p>
    <w:p w:rsidR="00E50159" w:rsidRDefault="00A82B37" w:rsidP="00E50159">
      <w:pPr>
        <w:rPr>
          <w:rStyle w:val="Hyperlink"/>
          <w:color w:val="auto"/>
          <w:sz w:val="21"/>
          <w:szCs w:val="21"/>
        </w:rPr>
      </w:pPr>
      <w:hyperlink r:id="rId56" w:history="1">
        <w:r w:rsidR="00E50159" w:rsidRPr="00F72FCC">
          <w:rPr>
            <w:rStyle w:val="Hyperlink"/>
            <w:color w:val="auto"/>
            <w:sz w:val="21"/>
            <w:szCs w:val="21"/>
          </w:rPr>
          <w:t>Disparate Impact</w:t>
        </w:r>
      </w:hyperlink>
      <w:r w:rsidR="00E50159" w:rsidRPr="00F72FCC">
        <w:rPr>
          <w:sz w:val="21"/>
          <w:szCs w:val="21"/>
        </w:rPr>
        <w:t>,</w:t>
      </w:r>
      <w:r w:rsidR="00E50159" w:rsidRPr="00F72FCC">
        <w:rPr>
          <w:rStyle w:val="apple-converted-space"/>
          <w:sz w:val="21"/>
          <w:szCs w:val="21"/>
        </w:rPr>
        <w:t> </w:t>
      </w:r>
      <w:hyperlink r:id="rId57" w:history="1">
        <w:r w:rsidR="00E50159" w:rsidRPr="00F72FCC">
          <w:rPr>
            <w:rStyle w:val="Hyperlink"/>
            <w:color w:val="auto"/>
            <w:sz w:val="21"/>
            <w:szCs w:val="21"/>
          </w:rPr>
          <w:t>Fair Housing Act</w:t>
        </w:r>
      </w:hyperlink>
      <w:r w:rsidR="00E50159" w:rsidRPr="00F72FCC">
        <w:rPr>
          <w:sz w:val="21"/>
          <w:szCs w:val="21"/>
        </w:rPr>
        <w:t>,</w:t>
      </w:r>
      <w:r w:rsidR="00E50159" w:rsidRPr="00F72FCC">
        <w:rPr>
          <w:rStyle w:val="apple-converted-space"/>
          <w:sz w:val="21"/>
          <w:szCs w:val="21"/>
        </w:rPr>
        <w:t> </w:t>
      </w:r>
      <w:hyperlink r:id="rId58" w:history="1">
        <w:r w:rsidR="00E50159" w:rsidRPr="00F72FCC">
          <w:rPr>
            <w:rStyle w:val="Hyperlink"/>
            <w:color w:val="auto"/>
            <w:sz w:val="21"/>
            <w:szCs w:val="21"/>
          </w:rPr>
          <w:t>FHA Programs</w:t>
        </w:r>
      </w:hyperlink>
    </w:p>
    <w:p w:rsidR="00E50159" w:rsidRPr="00F72FCC" w:rsidRDefault="00E50159" w:rsidP="00E50159">
      <w:pPr>
        <w:rPr>
          <w:sz w:val="21"/>
          <w:szCs w:val="21"/>
        </w:rPr>
      </w:pPr>
    </w:p>
    <w:p w:rsidR="00E50159" w:rsidRDefault="00E50159" w:rsidP="00E50159">
      <w:pPr>
        <w:pStyle w:val="NormalWeb"/>
        <w:spacing w:before="0" w:beforeAutospacing="0" w:after="0" w:afterAutospacing="0"/>
        <w:rPr>
          <w:rStyle w:val="element-invisible"/>
          <w:rFonts w:asciiTheme="minorHAnsi" w:hAnsiTheme="minorHAnsi"/>
          <w:sz w:val="20"/>
          <w:szCs w:val="20"/>
          <w:bdr w:val="none" w:sz="0" w:space="0" w:color="auto" w:frame="1"/>
        </w:rPr>
      </w:pPr>
      <w:r w:rsidRPr="00395CB6">
        <w:rPr>
          <w:rFonts w:asciiTheme="minorHAnsi" w:hAnsiTheme="minorHAnsi"/>
          <w:color w:val="231B18"/>
          <w:sz w:val="20"/>
          <w:szCs w:val="20"/>
        </w:rPr>
        <w:t>Read the full decision:</w:t>
      </w:r>
      <w:r w:rsidRPr="00395CB6">
        <w:rPr>
          <w:rStyle w:val="apple-converted-space"/>
          <w:rFonts w:asciiTheme="minorHAnsi" w:hAnsiTheme="minorHAnsi"/>
          <w:color w:val="231B18"/>
          <w:sz w:val="20"/>
          <w:szCs w:val="20"/>
        </w:rPr>
        <w:t> </w:t>
      </w:r>
      <w:hyperlink r:id="rId59" w:history="1">
        <w:r w:rsidRPr="00395CB6">
          <w:rPr>
            <w:rStyle w:val="Hyperlink"/>
            <w:rFonts w:asciiTheme="minorHAnsi" w:hAnsiTheme="minorHAnsi"/>
            <w:color w:val="auto"/>
            <w:sz w:val="20"/>
            <w:szCs w:val="20"/>
          </w:rPr>
          <w:t xml:space="preserve">Texas Dep't of </w:t>
        </w:r>
        <w:proofErr w:type="spellStart"/>
        <w:r w:rsidRPr="00395CB6">
          <w:rPr>
            <w:rStyle w:val="Hyperlink"/>
            <w:rFonts w:asciiTheme="minorHAnsi" w:hAnsiTheme="minorHAnsi"/>
            <w:color w:val="auto"/>
            <w:sz w:val="20"/>
            <w:szCs w:val="20"/>
          </w:rPr>
          <w:t>Hous</w:t>
        </w:r>
        <w:proofErr w:type="spellEnd"/>
        <w:r w:rsidRPr="00395CB6">
          <w:rPr>
            <w:rStyle w:val="Hyperlink"/>
            <w:rFonts w:asciiTheme="minorHAnsi" w:hAnsiTheme="minorHAnsi"/>
            <w:color w:val="auto"/>
            <w:sz w:val="20"/>
            <w:szCs w:val="20"/>
          </w:rPr>
          <w:t xml:space="preserve">. &amp; </w:t>
        </w:r>
        <w:proofErr w:type="spellStart"/>
        <w:r w:rsidRPr="00395CB6">
          <w:rPr>
            <w:rStyle w:val="Hyperlink"/>
            <w:rFonts w:asciiTheme="minorHAnsi" w:hAnsiTheme="minorHAnsi"/>
            <w:color w:val="auto"/>
            <w:sz w:val="20"/>
            <w:szCs w:val="20"/>
          </w:rPr>
          <w:t>Cmty</w:t>
        </w:r>
        <w:proofErr w:type="spellEnd"/>
        <w:r w:rsidRPr="00395CB6">
          <w:rPr>
            <w:rStyle w:val="Hyperlink"/>
            <w:rFonts w:asciiTheme="minorHAnsi" w:hAnsiTheme="minorHAnsi"/>
            <w:color w:val="auto"/>
            <w:sz w:val="20"/>
            <w:szCs w:val="20"/>
          </w:rPr>
          <w:t xml:space="preserve">. Affairs v. Inclusive Communities Project, Inc., No. 13-1371, 2015 WL 2473449 (U.S. June 25, </w:t>
        </w:r>
        <w:r w:rsidR="003472FD" w:rsidRPr="00395CB6">
          <w:rPr>
            <w:rStyle w:val="Hyperlink"/>
            <w:rFonts w:asciiTheme="minorHAnsi" w:hAnsiTheme="minorHAnsi"/>
            <w:color w:val="auto"/>
            <w:sz w:val="20"/>
            <w:szCs w:val="20"/>
          </w:rPr>
          <w:t>2015)</w:t>
        </w:r>
        <w:r w:rsidR="003472FD" w:rsidRPr="00395CB6">
          <w:rPr>
            <w:rStyle w:val="element-invisible"/>
            <w:rFonts w:asciiTheme="minorHAnsi" w:hAnsiTheme="minorHAnsi"/>
            <w:sz w:val="20"/>
            <w:szCs w:val="20"/>
            <w:bdr w:val="none" w:sz="0" w:space="0" w:color="auto" w:frame="1"/>
          </w:rPr>
          <w:t xml:space="preserve"> (</w:t>
        </w:r>
        <w:r w:rsidRPr="00395CB6">
          <w:rPr>
            <w:rStyle w:val="element-invisible"/>
            <w:rFonts w:asciiTheme="minorHAnsi" w:hAnsiTheme="minorHAnsi"/>
            <w:sz w:val="20"/>
            <w:szCs w:val="20"/>
            <w:bdr w:val="none" w:sz="0" w:space="0" w:color="auto" w:frame="1"/>
          </w:rPr>
          <w:t>link is external)</w:t>
        </w:r>
      </w:hyperlink>
    </w:p>
    <w:p w:rsidR="00E50159" w:rsidRPr="00395CB6" w:rsidRDefault="00E50159" w:rsidP="00E50159">
      <w:pPr>
        <w:pStyle w:val="NormalWeb"/>
        <w:spacing w:before="0" w:beforeAutospacing="0" w:after="0" w:afterAutospacing="0"/>
        <w:rPr>
          <w:rFonts w:asciiTheme="minorHAnsi" w:hAnsiTheme="minorHAnsi"/>
          <w:sz w:val="20"/>
          <w:szCs w:val="20"/>
        </w:rPr>
      </w:pPr>
    </w:p>
    <w:p w:rsidR="00E50159" w:rsidRPr="00F72FCC" w:rsidRDefault="00E50159" w:rsidP="00155E6C">
      <w:pPr>
        <w:pStyle w:val="NormalWeb"/>
        <w:spacing w:before="240" w:beforeAutospacing="0" w:after="120" w:afterAutospacing="0"/>
        <w:rPr>
          <w:rFonts w:asciiTheme="minorHAnsi" w:hAnsiTheme="minorHAnsi"/>
          <w:color w:val="231B18"/>
        </w:rPr>
      </w:pPr>
      <w:r w:rsidRPr="00F72FCC">
        <w:rPr>
          <w:rFonts w:asciiTheme="minorHAnsi" w:hAnsiTheme="minorHAnsi"/>
          <w:color w:val="231B18"/>
        </w:rPr>
        <w:t>In a much-anticipated housing discrimination case, Texas Department of Housing and Community Affairs ET AL. v. Inclusive Communities Project, Inc. ET AL, the Supreme Court of the United States addressed the issue of whether the federal Fair Housing Act ("FHA") prohibits housing decisions that have a disparate impact. The Court, in a 5-4 ruling, held that disparate-impact claims are cognizable under the FHA.</w:t>
      </w:r>
    </w:p>
    <w:p w:rsidR="00E50159" w:rsidRPr="00F72FCC" w:rsidRDefault="00840853" w:rsidP="00155E6C">
      <w:pPr>
        <w:pStyle w:val="NormalWeb"/>
        <w:spacing w:before="0" w:beforeAutospacing="0" w:after="120" w:afterAutospacing="0"/>
        <w:rPr>
          <w:rFonts w:asciiTheme="minorHAnsi" w:hAnsiTheme="minorHAnsi"/>
          <w:color w:val="231B18"/>
        </w:rPr>
      </w:pPr>
      <w:r>
        <w:rPr>
          <w:noProof/>
        </w:rPr>
        <w:drawing>
          <wp:anchor distT="0" distB="0" distL="114300" distR="114300" simplePos="0" relativeHeight="251778048" behindDoc="1" locked="0" layoutInCell="1" allowOverlap="1" wp14:anchorId="34F91C16" wp14:editId="31CB9009">
            <wp:simplePos x="0" y="0"/>
            <wp:positionH relativeFrom="column">
              <wp:posOffset>19050</wp:posOffset>
            </wp:positionH>
            <wp:positionV relativeFrom="paragraph">
              <wp:posOffset>749935</wp:posOffset>
            </wp:positionV>
            <wp:extent cx="3355975" cy="1885950"/>
            <wp:effectExtent l="19050" t="19050" r="15875" b="19050"/>
            <wp:wrapTight wrapText="bothSides">
              <wp:wrapPolygon edited="0">
                <wp:start x="-123" y="-218"/>
                <wp:lineTo x="-123" y="21600"/>
                <wp:lineTo x="21580" y="21600"/>
                <wp:lineTo x="21580" y="-218"/>
                <wp:lineTo x="-123" y="-218"/>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lide5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355975" cy="1885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E50159" w:rsidRPr="00F72FCC">
        <w:rPr>
          <w:rFonts w:asciiTheme="minorHAnsi" w:hAnsiTheme="minorHAnsi"/>
          <w:color w:val="231B18"/>
        </w:rPr>
        <w:t>The plaintiff in the case, Inclusive Communities Project, Inc. ("ICP"), alleged that the defendants, the Texas Department of Housing and Community Affairs ("Department"), violated the FHA by allocating a disproportionate number of federal low-income housing tax credits in predominately black inner-city areas, rather than in predominately white suburban neighborhoods. ICP alleged that the Department's selection criteria for allocating the tax credits perpetuated segregated housing patterns, resulting in a disparate impact on minorities in violation of the FHA. Disparate-impact claims challenge practices of housing providers that have a disproportionately adverse effect on minorities.</w:t>
      </w:r>
    </w:p>
    <w:p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Relying on statistical evidence presented by ICP, the District Court concluded that ICP successfully established a prima facie case of disparate impact. While the District Court accepted the Department's interests in allocating the tax credits as legitimate, the District Court required the Department to show that there was no other less discriminatory alternative to advancing the Department's legitimate interests.</w:t>
      </w:r>
    </w:p>
    <w:p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lastRenderedPageBreak/>
        <w:t>After defendants failed to meet this burden, the District Court entered a remedial order requiring the Department to add new selection criteria for distribution of the tax credits. On appeal, the Fifth Circuit Court of Appeals held that disparate- impact claims are cognizable under the FHA, but reversed and remanded based on its finding that the District Court improperly placed the burden to demonstrate no less discriminatory alternative on the Department.</w:t>
      </w:r>
    </w:p>
    <w:p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In reaching its holding that the FHA recognizes disparate-impact claims, the Court found support from two other antidiscrimination statutes, Title VII of the Civil Rights Act of 1964 ("Title VII") and the Age and Discrimination in Employment Act of 1967 ("ADEA").  Both Section 703(a)(2) of Title VII and Section 4(a)(2) of the ADEA contain language, similar to language in the FHA, which speaks to the consequence of an actor's actions, rather than the actor's intent.  The Court determined that prior decisions of the Court "instruct that antidiscrimination laws must be construed to encompass disparate-impact claims when their text refers to the consequences of actions and not just to the mindset of actors and where that interpretation is consistent with statutory purpose." Section 804(a) of the FHA includes the phrase "otherwise make unavailable", which is similar to phrasing in Title VII and the ADEA and previously found by the Court to refer to the consequences of the actor's actions rather than the intent. Also persuasive to the Court was the fact that Title VII, the ADEA, and the FHA were passed close in time to each other.</w:t>
      </w:r>
    </w:p>
    <w:p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The Court also found support from the 1988 amendments to the FHA ("1988 Amendments"). At the time of the 1988 Amendments, Congress was aware that all nine Courts of Appeal had addressed the issue and unanimously held that the FHA recognized disparate-impact liability. Therefore, the Court determined that Congress' 1988 Amendments to the FHA served as a ratification of these holdings. In addition, the Court found that the 1988 Amendments presupposed the existence of disparate-impact liability, and that the "exemptions embodied in these amendments would be superfluous if Congress had assumed disparate-impact liability did not exist under the FHA."</w:t>
      </w:r>
    </w:p>
    <w:p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While the Court recognized disparate-impact liability, the Court limited its scope in order to ensure that housing authorities and housing developers could still maintain a policy that serves a legitimate business interest. After a plaintiff establishes a prima facie case showing of disparate impact, the burden shifts to the defendant to prove the challenged practice is necessary to achieve one or more substantial, legitimate, non-discriminatory interests. The Court instructed that the burden then shifts back to the plaintiff to show the existence of another practice with a less discriminatory effect that would still serve the defendant's legitimate business interest. In addition, central to this burden-shifting framework is the</w:t>
      </w:r>
      <w:r w:rsidR="00FB73A0">
        <w:rPr>
          <w:rFonts w:asciiTheme="minorHAnsi" w:hAnsiTheme="minorHAnsi"/>
          <w:color w:val="231B18"/>
        </w:rPr>
        <w:t xml:space="preserve"> </w:t>
      </w:r>
      <w:r w:rsidRPr="00F72FCC">
        <w:rPr>
          <w:rFonts w:asciiTheme="minorHAnsi" w:hAnsiTheme="minorHAnsi"/>
          <w:color w:val="231B18"/>
        </w:rPr>
        <w:t>requirement that a plaintiff be able to show a causal connection between a specific policy or policies of a defendant and the disparate impact.</w:t>
      </w:r>
    </w:p>
    <w:p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The Court recognized that disparate-impact claims play an important role in uncovering discriminatory intent and unconscious biases that may serve to thwart the FHA's goals, and the Court found disparate-impact liability under the FHA to be consistent with the FHA's purpose of ending segregated housing patterns and moving our nation towards a more integrated society. For these reasons, the Supreme Court of the United States affirmed the judgment of the Court of Appeals for the Fifth Circuit.</w:t>
      </w:r>
    </w:p>
    <w:p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lastRenderedPageBreak/>
        <w:t>Three judges dissented from the Court's opinion, arguing that the key phrase in the text of Section 804(a) of the FHA is the use of the phrase "because of", which the dissent pointed out was previously held by the Court to mean "by reason of" or "on account of", requiring a showing of discriminatory intent. The dissent was unpersuaded by the majority's reading of the plain language of the statute or the majority's conclusion that Congress authorized disparate-impact liability under the FHA.</w:t>
      </w:r>
    </w:p>
    <w:p w:rsidR="00E50159" w:rsidRPr="00F72FCC" w:rsidRDefault="00E50159" w:rsidP="00155E6C">
      <w:pPr>
        <w:pStyle w:val="NormalWeb"/>
        <w:spacing w:before="0" w:beforeAutospacing="0" w:after="120" w:afterAutospacing="0"/>
        <w:rPr>
          <w:rFonts w:asciiTheme="minorHAnsi" w:hAnsiTheme="minorHAnsi"/>
          <w:color w:val="231B18"/>
        </w:rPr>
      </w:pPr>
      <w:r w:rsidRPr="00F72FCC">
        <w:rPr>
          <w:rFonts w:asciiTheme="minorHAnsi" w:hAnsiTheme="minorHAnsi"/>
          <w:color w:val="231B18"/>
        </w:rPr>
        <w:t xml:space="preserve">Texas Dep't of </w:t>
      </w:r>
      <w:proofErr w:type="spellStart"/>
      <w:r w:rsidRPr="00F72FCC">
        <w:rPr>
          <w:rFonts w:asciiTheme="minorHAnsi" w:hAnsiTheme="minorHAnsi"/>
          <w:color w:val="231B18"/>
        </w:rPr>
        <w:t>Hous</w:t>
      </w:r>
      <w:proofErr w:type="spellEnd"/>
      <w:r w:rsidRPr="00F72FCC">
        <w:rPr>
          <w:rFonts w:asciiTheme="minorHAnsi" w:hAnsiTheme="minorHAnsi"/>
          <w:color w:val="231B18"/>
        </w:rPr>
        <w:t xml:space="preserve">. &amp; </w:t>
      </w:r>
      <w:proofErr w:type="spellStart"/>
      <w:r w:rsidRPr="00F72FCC">
        <w:rPr>
          <w:rFonts w:asciiTheme="minorHAnsi" w:hAnsiTheme="minorHAnsi"/>
          <w:color w:val="231B18"/>
        </w:rPr>
        <w:t>Cmty</w:t>
      </w:r>
      <w:proofErr w:type="spellEnd"/>
      <w:r w:rsidRPr="00F72FCC">
        <w:rPr>
          <w:rFonts w:asciiTheme="minorHAnsi" w:hAnsiTheme="minorHAnsi"/>
          <w:color w:val="231B18"/>
        </w:rPr>
        <w:t>. Affairs v. Inclusive Communities Project, Inc., No. 13-1371, 2015 WL 2473449 (U.S. June 25, 2015) [This is a citation to a Westlaw document. Westlaw is a subscription, online legal research service. If an official reporter citation should become available for this case, the citation will be updated to reflect this information].</w:t>
      </w:r>
    </w:p>
    <w:p w:rsidR="00E50159" w:rsidRPr="00F72FCC" w:rsidRDefault="00E50159" w:rsidP="00155E6C">
      <w:pPr>
        <w:pStyle w:val="NormalWeb"/>
        <w:spacing w:before="0" w:beforeAutospacing="0" w:after="120" w:afterAutospacing="0"/>
        <w:rPr>
          <w:rFonts w:asciiTheme="minorHAnsi" w:hAnsiTheme="minorHAnsi"/>
          <w:color w:val="231B18"/>
        </w:rPr>
      </w:pPr>
      <w:r w:rsidRPr="00F72FCC">
        <w:rPr>
          <w:rStyle w:val="Strong"/>
          <w:rFonts w:asciiTheme="minorHAnsi" w:hAnsiTheme="minorHAnsi"/>
          <w:i/>
          <w:iCs/>
          <w:color w:val="231B18"/>
        </w:rPr>
        <w:t>Editor's Note: How Does Disparate Impact Theory Impact Real Estate Professionals?</w:t>
      </w:r>
    </w:p>
    <w:p w:rsidR="006809DE" w:rsidRDefault="00E50159" w:rsidP="00D13648">
      <w:pPr>
        <w:spacing w:after="160" w:line="259" w:lineRule="auto"/>
        <w:rPr>
          <w:color w:val="231B18"/>
        </w:rPr>
      </w:pPr>
      <w:r w:rsidRPr="00F72FCC">
        <w:rPr>
          <w:color w:val="231B18"/>
        </w:rPr>
        <w:t>The effect of the Supreme Court’s decision will largely be felt by housing developers, multi-unit property managers, lenders and government agencies. To the extent that a real estate professional serves in one of these capacities, particular attention should be paid. While the result of this decision will unlikely affect real estate professionals to any great extent, there is potential for a real estate professional to be subject to disparate-impact liability where a real estate professional adopts a policy that causes a disparate impact on a protected class. For example, if a real estate professional were to adopt a policy that the real estate professional would only show properties to individuals with advanced degrees, and a plaintiff were able to establish that this policy caused a disparate impact on minorities, a real estate professional could potentially be held liable for violating the federal Fair Housing Act. In addition, for real estate professionals that also operate as property managers or housing developers, consideration should be given to the effect of any adopted policy related to these activities to ensure that the policy does not have any unintended disparate impact on a protected class under the Fair Housing Act</w:t>
      </w:r>
    </w:p>
    <w:p w:rsidR="00D13648" w:rsidRDefault="006809DE" w:rsidP="006809DE">
      <w:pPr>
        <w:spacing w:after="160" w:line="259" w:lineRule="auto"/>
        <w:jc w:val="center"/>
        <w:rPr>
          <w:noProof/>
        </w:rPr>
      </w:pPr>
      <w:r>
        <w:rPr>
          <w:noProof/>
        </w:rPr>
        <w:drawing>
          <wp:inline distT="0" distB="0" distL="0" distR="0" wp14:anchorId="7751A454" wp14:editId="6ECBEF16">
            <wp:extent cx="4524375" cy="2543101"/>
            <wp:effectExtent l="19050" t="19050" r="9525" b="1016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de3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530963" cy="2546804"/>
                    </a:xfrm>
                    <a:prstGeom prst="rect">
                      <a:avLst/>
                    </a:prstGeom>
                    <a:ln>
                      <a:solidFill>
                        <a:schemeClr val="tx1"/>
                      </a:solidFill>
                    </a:ln>
                  </pic:spPr>
                </pic:pic>
              </a:graphicData>
            </a:graphic>
          </wp:inline>
        </w:drawing>
      </w:r>
      <w:r w:rsidR="00E50159" w:rsidRPr="00F72FCC">
        <w:rPr>
          <w:color w:val="231B18"/>
        </w:rPr>
        <w:t>.</w:t>
      </w:r>
    </w:p>
    <w:p w:rsidR="00420E63" w:rsidRPr="003D24EA" w:rsidRDefault="00420E63" w:rsidP="00D13648">
      <w:pPr>
        <w:spacing w:after="160" w:line="259" w:lineRule="auto"/>
        <w:jc w:val="center"/>
        <w:rPr>
          <w:color w:val="231B18"/>
        </w:rPr>
      </w:pPr>
    </w:p>
    <w:p w:rsidR="001D5760" w:rsidRDefault="001D5760" w:rsidP="00E50159">
      <w:pPr>
        <w:spacing w:after="160" w:line="259" w:lineRule="auto"/>
        <w:jc w:val="center"/>
      </w:pPr>
      <w:r>
        <w:rPr>
          <w:b/>
          <w:bCs/>
          <w:noProof/>
        </w:rPr>
        <w:lastRenderedPageBreak/>
        <w:drawing>
          <wp:inline distT="0" distB="0" distL="0" distR="0" wp14:anchorId="279BDF5C" wp14:editId="1A824F9F">
            <wp:extent cx="4670250" cy="2623185"/>
            <wp:effectExtent l="19050" t="19050" r="16510" b="2476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de3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73652" cy="2625096"/>
                    </a:xfrm>
                    <a:prstGeom prst="rect">
                      <a:avLst/>
                    </a:prstGeom>
                    <a:ln>
                      <a:solidFill>
                        <a:schemeClr val="tx1"/>
                      </a:solidFill>
                    </a:ln>
                  </pic:spPr>
                </pic:pic>
              </a:graphicData>
            </a:graphic>
          </wp:inline>
        </w:drawing>
      </w:r>
    </w:p>
    <w:p w:rsidR="00420E63" w:rsidRDefault="00420E63" w:rsidP="000A6F74">
      <w:pPr>
        <w:pStyle w:val="Heading2"/>
      </w:pPr>
      <w:bookmarkStart w:id="30" w:name="_Toc20256117"/>
      <w:r>
        <w:t>PART 3: Service Animals vs Emotional Support Animals</w:t>
      </w:r>
      <w:bookmarkEnd w:id="30"/>
      <w:r>
        <w:t xml:space="preserve"> </w:t>
      </w:r>
    </w:p>
    <w:p w:rsidR="00420E63" w:rsidRDefault="00420E63" w:rsidP="00420E63">
      <w:pPr>
        <w:pStyle w:val="Heading3"/>
      </w:pPr>
      <w:bookmarkStart w:id="31" w:name="_Toc20256118"/>
      <w:r w:rsidRPr="00F72FCC">
        <w:t>Handicap and Fair Housing</w:t>
      </w:r>
      <w:bookmarkEnd w:id="31"/>
    </w:p>
    <w:p w:rsidR="003D24EA" w:rsidRDefault="003D24EA" w:rsidP="00420E63"/>
    <w:p w:rsidR="003D24EA" w:rsidRDefault="003D24EA" w:rsidP="003D24EA">
      <w:pPr>
        <w:jc w:val="center"/>
      </w:pPr>
      <w:r>
        <w:rPr>
          <w:b/>
          <w:bCs/>
          <w:noProof/>
        </w:rPr>
        <w:drawing>
          <wp:inline distT="0" distB="0" distL="0" distR="0" wp14:anchorId="5D207F91" wp14:editId="34376D11">
            <wp:extent cx="5855137" cy="3290198"/>
            <wp:effectExtent l="19050" t="19050" r="12700" b="2476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de4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0820" cy="3315869"/>
                    </a:xfrm>
                    <a:prstGeom prst="rect">
                      <a:avLst/>
                    </a:prstGeom>
                    <a:ln>
                      <a:solidFill>
                        <a:schemeClr val="tx1"/>
                      </a:solidFill>
                    </a:ln>
                  </pic:spPr>
                </pic:pic>
              </a:graphicData>
            </a:graphic>
          </wp:inline>
        </w:drawing>
      </w:r>
    </w:p>
    <w:p w:rsidR="001D5760" w:rsidRDefault="001D5760" w:rsidP="003D24EA">
      <w:pPr>
        <w:jc w:val="center"/>
      </w:pPr>
    </w:p>
    <w:p w:rsidR="007904DF" w:rsidRDefault="007904DF" w:rsidP="00F1335A">
      <w:pPr>
        <w:pStyle w:val="Heading3"/>
      </w:pPr>
    </w:p>
    <w:p w:rsidR="007904DF" w:rsidRDefault="007904DF" w:rsidP="00F1335A">
      <w:pPr>
        <w:pStyle w:val="Heading3"/>
      </w:pPr>
    </w:p>
    <w:p w:rsidR="007904DF" w:rsidRDefault="007904DF" w:rsidP="00F1335A">
      <w:pPr>
        <w:pStyle w:val="Heading3"/>
      </w:pPr>
    </w:p>
    <w:p w:rsidR="00D13648" w:rsidRDefault="00D13648" w:rsidP="00F1335A">
      <w:pPr>
        <w:pStyle w:val="Heading3"/>
      </w:pPr>
    </w:p>
    <w:p w:rsidR="00A25615" w:rsidRDefault="00A25615" w:rsidP="00F1335A">
      <w:pPr>
        <w:pStyle w:val="Heading3"/>
      </w:pPr>
    </w:p>
    <w:p w:rsidR="00840853" w:rsidRDefault="00840853" w:rsidP="00F1335A">
      <w:pPr>
        <w:pStyle w:val="Heading3"/>
      </w:pPr>
    </w:p>
    <w:p w:rsidR="00F1335A" w:rsidRPr="0014571B" w:rsidRDefault="00F1335A" w:rsidP="00F1335A">
      <w:pPr>
        <w:pStyle w:val="Heading3"/>
      </w:pPr>
      <w:bookmarkStart w:id="32" w:name="_Toc20256119"/>
      <w:r>
        <w:lastRenderedPageBreak/>
        <w:t>Service Animals</w:t>
      </w:r>
      <w:bookmarkStart w:id="33" w:name="page1"/>
      <w:bookmarkEnd w:id="33"/>
      <w:r w:rsidRPr="00F738EB">
        <w:rPr>
          <w:noProof/>
          <w:sz w:val="24"/>
          <w:szCs w:val="24"/>
        </w:rPr>
        <mc:AlternateContent>
          <mc:Choice Requires="wps">
            <w:drawing>
              <wp:anchor distT="0" distB="0" distL="114300" distR="114300" simplePos="0" relativeHeight="251711488" behindDoc="1" locked="0" layoutInCell="0" allowOverlap="1" wp14:anchorId="1FF6F258" wp14:editId="5FBBD9F5">
                <wp:simplePos x="0" y="0"/>
                <wp:positionH relativeFrom="page">
                  <wp:posOffset>7440930</wp:posOffset>
                </wp:positionH>
                <wp:positionV relativeFrom="page">
                  <wp:posOffset>304800</wp:posOffset>
                </wp:positionV>
                <wp:extent cx="0" cy="9450070"/>
                <wp:effectExtent l="0" t="0" r="0" b="0"/>
                <wp:wrapNone/>
                <wp:docPr id="198"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56388">
                          <a:noFill/>
                          <a:miter lim="800000"/>
                          <a:headEnd/>
                          <a:tailEnd/>
                        </a:ln>
                      </wps:spPr>
                      <wps:bodyPr/>
                    </wps:wsp>
                  </a:graphicData>
                </a:graphic>
              </wp:anchor>
            </w:drawing>
          </mc:Choice>
          <mc:Fallback>
            <w:pict>
              <v:line w14:anchorId="64F79068" id="Shape 2" o:spid="_x0000_s1026" style="position:absolute;z-index:-251604992;visibility:visible;mso-wrap-style:square;mso-wrap-distance-left:9pt;mso-wrap-distance-top:0;mso-wrap-distance-right:9pt;mso-wrap-distance-bottom:0;mso-position-horizontal:absolute;mso-position-horizontal-relative:page;mso-position-vertical:absolute;mso-position-vertical-relative:page" from="585.9pt,24pt" to="585.9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" o:allowincell="f" filled="t" stroked="f" strokeweight="4.44pt">
                <v:stroke joinstyle="miter"/>
                <o:lock v:ext="edit" shapetype="f"/>
                <w10:wrap anchorx="page" anchory="page"/>
              </v:line>
            </w:pict>
          </mc:Fallback>
        </mc:AlternateContent>
      </w:r>
      <w:r>
        <w:t xml:space="preserve"> and Emotional Support Animals</w:t>
      </w:r>
      <w:bookmarkEnd w:id="32"/>
    </w:p>
    <w:p w:rsidR="001A0864" w:rsidRDefault="001A0864" w:rsidP="001A0864">
      <w:pPr>
        <w:rPr>
          <w:rFonts w:eastAsia="Times New Roman"/>
        </w:rPr>
      </w:pPr>
    </w:p>
    <w:p w:rsidR="00F1335A" w:rsidRPr="001A0864" w:rsidRDefault="001A0864" w:rsidP="001A0864">
      <w:pPr>
        <w:rPr>
          <w:rFonts w:eastAsia="Times New Roman"/>
          <w:sz w:val="22"/>
          <w:szCs w:val="22"/>
        </w:rPr>
      </w:pPr>
      <w:r>
        <w:rPr>
          <w:rFonts w:eastAsia="Times New Roman"/>
        </w:rPr>
        <w:t>Let’s make certain we understand the difference between Service Animals and Emotional Support Animals </w:t>
      </w:r>
    </w:p>
    <w:p w:rsidR="001D5760" w:rsidRDefault="007904DF" w:rsidP="00F1335A">
      <w:pPr>
        <w:jc w:val="center"/>
      </w:pPr>
      <w:r>
        <w:rPr>
          <w:noProof/>
        </w:rPr>
        <w:drawing>
          <wp:anchor distT="0" distB="0" distL="114300" distR="114300" simplePos="0" relativeHeight="251709440" behindDoc="0" locked="0" layoutInCell="1" allowOverlap="1" wp14:anchorId="75944378" wp14:editId="3D152E49">
            <wp:simplePos x="0" y="0"/>
            <wp:positionH relativeFrom="column">
              <wp:posOffset>390525</wp:posOffset>
            </wp:positionH>
            <wp:positionV relativeFrom="paragraph">
              <wp:posOffset>187960</wp:posOffset>
            </wp:positionV>
            <wp:extent cx="5084445" cy="2857500"/>
            <wp:effectExtent l="19050" t="19050" r="20955" b="1905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de4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84445" cy="2857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4571B" w:rsidRDefault="0014571B" w:rsidP="00F1335A">
      <w:bookmarkStart w:id="34" w:name="_Hlk19821288"/>
    </w:p>
    <w:p w:rsidR="00F1335A" w:rsidRPr="00F1335A" w:rsidRDefault="00F1335A" w:rsidP="00F1335A"/>
    <w:p w:rsidR="0014571B" w:rsidRPr="00F738EB" w:rsidRDefault="0014571B" w:rsidP="0014571B">
      <w:pPr>
        <w:spacing w:line="2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Default="0014571B" w:rsidP="0014571B">
      <w:pPr>
        <w:spacing w:line="200" w:lineRule="exact"/>
        <w:rPr>
          <w:rFonts w:cstheme="minorHAnsi"/>
        </w:rPr>
      </w:pPr>
    </w:p>
    <w:p w:rsidR="007904DF" w:rsidRDefault="007904DF" w:rsidP="0014571B">
      <w:pPr>
        <w:spacing w:line="200" w:lineRule="exact"/>
        <w:rPr>
          <w:rFonts w:cstheme="minorHAnsi"/>
        </w:rPr>
      </w:pPr>
    </w:p>
    <w:p w:rsidR="007904DF" w:rsidRDefault="007904DF" w:rsidP="0014571B">
      <w:pPr>
        <w:spacing w:line="200" w:lineRule="exact"/>
        <w:rPr>
          <w:rFonts w:cstheme="minorHAnsi"/>
        </w:rPr>
      </w:pPr>
    </w:p>
    <w:p w:rsidR="007904DF" w:rsidRPr="00F738EB" w:rsidRDefault="007904DF"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7904DF" w:rsidP="0014571B">
      <w:pPr>
        <w:spacing w:line="200" w:lineRule="exact"/>
        <w:rPr>
          <w:rFonts w:cstheme="minorHAnsi"/>
        </w:rPr>
      </w:pPr>
      <w:r>
        <w:rPr>
          <w:noProof/>
        </w:rPr>
        <w:drawing>
          <wp:anchor distT="0" distB="0" distL="114300" distR="114300" simplePos="0" relativeHeight="251735040" behindDoc="0" locked="0" layoutInCell="1" allowOverlap="1" wp14:anchorId="041F40BB" wp14:editId="0F5B1786">
            <wp:simplePos x="0" y="0"/>
            <wp:positionH relativeFrom="column">
              <wp:posOffset>390525</wp:posOffset>
            </wp:positionH>
            <wp:positionV relativeFrom="paragraph">
              <wp:posOffset>58420</wp:posOffset>
            </wp:positionV>
            <wp:extent cx="5084445" cy="2857500"/>
            <wp:effectExtent l="19050" t="19050" r="20955" b="1905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de4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84445" cy="2857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00" w:lineRule="exact"/>
        <w:rPr>
          <w:rFonts w:cstheme="minorHAnsi"/>
        </w:rPr>
      </w:pPr>
    </w:p>
    <w:p w:rsidR="0014571B" w:rsidRPr="00F738EB" w:rsidRDefault="0014571B" w:rsidP="0014571B">
      <w:pPr>
        <w:spacing w:line="272" w:lineRule="exact"/>
        <w:rPr>
          <w:rFonts w:cstheme="minorHAnsi"/>
        </w:rPr>
      </w:pPr>
    </w:p>
    <w:p w:rsidR="007904DF" w:rsidRDefault="007904DF" w:rsidP="00F1335A">
      <w:pPr>
        <w:jc w:val="center"/>
        <w:rPr>
          <w:rFonts w:eastAsia="Verdana" w:cstheme="minorHAnsi"/>
          <w:b/>
          <w:bCs/>
          <w:color w:val="1C3F94"/>
        </w:rPr>
      </w:pPr>
    </w:p>
    <w:p w:rsidR="007904DF" w:rsidRDefault="007904DF" w:rsidP="00F1335A">
      <w:pPr>
        <w:jc w:val="center"/>
        <w:rPr>
          <w:rFonts w:eastAsia="Verdana" w:cstheme="minorHAnsi"/>
          <w:b/>
          <w:bCs/>
          <w:color w:val="1C3F94"/>
        </w:rPr>
      </w:pPr>
    </w:p>
    <w:p w:rsidR="007904DF" w:rsidRDefault="007904DF" w:rsidP="00F1335A">
      <w:pPr>
        <w:jc w:val="center"/>
        <w:rPr>
          <w:rFonts w:eastAsia="Verdana" w:cstheme="minorHAnsi"/>
          <w:b/>
          <w:bCs/>
          <w:color w:val="1C3F94"/>
        </w:rPr>
      </w:pPr>
    </w:p>
    <w:p w:rsidR="007904DF" w:rsidRDefault="007904DF" w:rsidP="00F1335A">
      <w:pPr>
        <w:jc w:val="center"/>
        <w:rPr>
          <w:rFonts w:eastAsia="Verdana" w:cstheme="minorHAnsi"/>
          <w:b/>
          <w:bCs/>
          <w:color w:val="1C3F94"/>
        </w:rPr>
      </w:pPr>
    </w:p>
    <w:p w:rsidR="007904DF" w:rsidRDefault="007904DF" w:rsidP="00F1335A">
      <w:pPr>
        <w:jc w:val="center"/>
        <w:rPr>
          <w:rFonts w:eastAsia="Verdana" w:cstheme="minorHAnsi"/>
          <w:b/>
          <w:bCs/>
          <w:color w:val="1C3F94"/>
        </w:rPr>
      </w:pPr>
    </w:p>
    <w:p w:rsidR="007904DF" w:rsidRDefault="007904DF" w:rsidP="00F1335A">
      <w:pPr>
        <w:jc w:val="center"/>
        <w:rPr>
          <w:rFonts w:eastAsia="Verdana" w:cstheme="minorHAnsi"/>
          <w:b/>
          <w:bCs/>
          <w:color w:val="1C3F94"/>
        </w:rPr>
      </w:pPr>
    </w:p>
    <w:p w:rsidR="0014571B" w:rsidRDefault="0014571B" w:rsidP="0014571B">
      <w:pPr>
        <w:rPr>
          <w:rFonts w:cstheme="minorHAnsi"/>
        </w:rPr>
      </w:pPr>
    </w:p>
    <w:p w:rsidR="0014571B" w:rsidRDefault="0014571B"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p w:rsidR="00857F24" w:rsidRDefault="00857F24" w:rsidP="0014571B">
      <w:pPr>
        <w:rPr>
          <w:rFonts w:cstheme="minorHAnsi"/>
        </w:rPr>
      </w:pPr>
    </w:p>
    <w:tbl>
      <w:tblPr>
        <w:tblStyle w:val="TableGrid"/>
        <w:tblW w:w="9625" w:type="dxa"/>
        <w:tblLook w:val="04A0" w:firstRow="1" w:lastRow="0" w:firstColumn="1" w:lastColumn="0" w:noHBand="0" w:noVBand="1"/>
      </w:tblPr>
      <w:tblGrid>
        <w:gridCol w:w="1075"/>
        <w:gridCol w:w="8550"/>
      </w:tblGrid>
      <w:tr w:rsidR="00857F24" w:rsidRPr="00F72FCC" w:rsidTr="00857F24">
        <w:trPr>
          <w:trHeight w:hRule="exact" w:val="802"/>
        </w:trPr>
        <w:tc>
          <w:tcPr>
            <w:tcW w:w="1075" w:type="dxa"/>
            <w:shd w:val="clear" w:color="auto" w:fill="D0CECE" w:themeFill="background2" w:themeFillShade="E6"/>
            <w:vAlign w:val="center"/>
          </w:tcPr>
          <w:p w:rsidR="00857F24" w:rsidRDefault="00857F24" w:rsidP="00857F24">
            <w:pPr>
              <w:rPr>
                <w:sz w:val="28"/>
                <w:szCs w:val="28"/>
              </w:rPr>
            </w:pPr>
            <w:r w:rsidRPr="00F72FCC">
              <w:rPr>
                <w:sz w:val="28"/>
                <w:szCs w:val="28"/>
              </w:rPr>
              <w:t>True/</w:t>
            </w:r>
          </w:p>
          <w:p w:rsidR="00857F24" w:rsidRPr="00F72FCC" w:rsidRDefault="00857F24" w:rsidP="00857F24">
            <w:pPr>
              <w:rPr>
                <w:sz w:val="28"/>
                <w:szCs w:val="28"/>
              </w:rPr>
            </w:pPr>
            <w:r w:rsidRPr="00F72FCC">
              <w:rPr>
                <w:sz w:val="28"/>
                <w:szCs w:val="28"/>
              </w:rPr>
              <w:t>False</w:t>
            </w:r>
          </w:p>
        </w:tc>
        <w:tc>
          <w:tcPr>
            <w:tcW w:w="8550" w:type="dxa"/>
            <w:shd w:val="clear" w:color="auto" w:fill="D0CECE" w:themeFill="background2" w:themeFillShade="E6"/>
            <w:vAlign w:val="center"/>
          </w:tcPr>
          <w:p w:rsidR="00857F24" w:rsidRPr="00857F24" w:rsidRDefault="00857F24" w:rsidP="00857F24">
            <w:pPr>
              <w:jc w:val="center"/>
              <w:rPr>
                <w:sz w:val="44"/>
                <w:szCs w:val="44"/>
              </w:rPr>
            </w:pPr>
            <w:r w:rsidRPr="00857F24">
              <w:rPr>
                <w:sz w:val="44"/>
                <w:szCs w:val="44"/>
              </w:rPr>
              <w:t>Module 3 Quiz</w:t>
            </w:r>
          </w:p>
        </w:tc>
      </w:tr>
      <w:tr w:rsidR="00857F24" w:rsidRPr="00212325" w:rsidTr="00857F24">
        <w:trPr>
          <w:trHeight w:val="576"/>
        </w:trPr>
        <w:tc>
          <w:tcPr>
            <w:tcW w:w="1075" w:type="dxa"/>
            <w:vAlign w:val="center"/>
          </w:tcPr>
          <w:p w:rsidR="00857F24" w:rsidRPr="00212325" w:rsidRDefault="00857F24" w:rsidP="00857F24">
            <w:r w:rsidRPr="00212325">
              <w:t>T |   F</w:t>
            </w:r>
          </w:p>
        </w:tc>
        <w:tc>
          <w:tcPr>
            <w:tcW w:w="8550" w:type="dxa"/>
            <w:vAlign w:val="center"/>
          </w:tcPr>
          <w:p w:rsidR="00857F24" w:rsidRPr="00212325" w:rsidRDefault="00857F24" w:rsidP="00857F24">
            <w:r>
              <w:t>The law that covers service and emotional support animals in the Americans With Disabilities Act (ADA).</w:t>
            </w:r>
            <w:r>
              <w:tab/>
            </w:r>
          </w:p>
        </w:tc>
      </w:tr>
      <w:tr w:rsidR="00857F24" w:rsidRPr="00212325" w:rsidTr="00857F24">
        <w:trPr>
          <w:trHeight w:val="576"/>
        </w:trPr>
        <w:tc>
          <w:tcPr>
            <w:tcW w:w="1075" w:type="dxa"/>
            <w:vAlign w:val="center"/>
          </w:tcPr>
          <w:p w:rsidR="00857F24" w:rsidRPr="00212325" w:rsidRDefault="00857F24" w:rsidP="00857F24">
            <w:r w:rsidRPr="00212325">
              <w:t>T |   F</w:t>
            </w:r>
          </w:p>
        </w:tc>
        <w:tc>
          <w:tcPr>
            <w:tcW w:w="8550" w:type="dxa"/>
            <w:vAlign w:val="center"/>
          </w:tcPr>
          <w:p w:rsidR="00857F24" w:rsidRPr="00212325" w:rsidRDefault="00857F24" w:rsidP="00857F24">
            <w:r>
              <w:t>Service animals can only be dogs under the ADA</w:t>
            </w:r>
          </w:p>
        </w:tc>
      </w:tr>
      <w:tr w:rsidR="00857F24" w:rsidRPr="00212325" w:rsidTr="00857F24">
        <w:trPr>
          <w:trHeight w:val="576"/>
        </w:trPr>
        <w:tc>
          <w:tcPr>
            <w:tcW w:w="1075" w:type="dxa"/>
            <w:vAlign w:val="center"/>
          </w:tcPr>
          <w:p w:rsidR="00857F24" w:rsidRPr="00212325" w:rsidRDefault="00857F24" w:rsidP="00857F24">
            <w:r w:rsidRPr="00212325">
              <w:t>T |   F</w:t>
            </w:r>
          </w:p>
        </w:tc>
        <w:tc>
          <w:tcPr>
            <w:tcW w:w="8550" w:type="dxa"/>
            <w:vAlign w:val="center"/>
          </w:tcPr>
          <w:p w:rsidR="00857F24" w:rsidRPr="00212325" w:rsidRDefault="00857F24" w:rsidP="00857F24">
            <w:r>
              <w:t>A doctor’s note can turn a service animal into an emotional support animal.</w:t>
            </w:r>
          </w:p>
        </w:tc>
      </w:tr>
      <w:tr w:rsidR="00857F24" w:rsidRPr="00212325" w:rsidTr="00857F24">
        <w:trPr>
          <w:trHeight w:val="576"/>
        </w:trPr>
        <w:tc>
          <w:tcPr>
            <w:tcW w:w="1075" w:type="dxa"/>
            <w:vAlign w:val="center"/>
          </w:tcPr>
          <w:p w:rsidR="00857F24" w:rsidRPr="00212325" w:rsidRDefault="00857F24" w:rsidP="00857F24">
            <w:r w:rsidRPr="00212325">
              <w:t>T |   F</w:t>
            </w:r>
          </w:p>
        </w:tc>
        <w:tc>
          <w:tcPr>
            <w:tcW w:w="8550" w:type="dxa"/>
            <w:vAlign w:val="center"/>
          </w:tcPr>
          <w:p w:rsidR="00857F24" w:rsidRPr="00212325" w:rsidRDefault="00857F24" w:rsidP="00857F24">
            <w:r>
              <w:t>The law requires that a service animal be house broken, vaccinated, and under control.</w:t>
            </w:r>
          </w:p>
        </w:tc>
      </w:tr>
      <w:tr w:rsidR="00857F24" w:rsidRPr="00212325" w:rsidTr="00857F24">
        <w:trPr>
          <w:trHeight w:val="576"/>
        </w:trPr>
        <w:tc>
          <w:tcPr>
            <w:tcW w:w="1075" w:type="dxa"/>
            <w:vAlign w:val="center"/>
          </w:tcPr>
          <w:p w:rsidR="00857F24" w:rsidRPr="00212325" w:rsidRDefault="00857F24" w:rsidP="00857F24">
            <w:r w:rsidRPr="00212325">
              <w:t>T |   F</w:t>
            </w:r>
          </w:p>
        </w:tc>
        <w:tc>
          <w:tcPr>
            <w:tcW w:w="8550" w:type="dxa"/>
            <w:vAlign w:val="center"/>
          </w:tcPr>
          <w:p w:rsidR="00857F24" w:rsidRPr="00212325" w:rsidRDefault="00857F24" w:rsidP="00857F24">
            <w:r>
              <w:t xml:space="preserve">A restaurant can ask a patron to leave if they have a service animal with them.   </w:t>
            </w:r>
          </w:p>
        </w:tc>
      </w:tr>
      <w:tr w:rsidR="00857F24" w:rsidRPr="00212325" w:rsidTr="00857F24">
        <w:trPr>
          <w:trHeight w:val="576"/>
        </w:trPr>
        <w:tc>
          <w:tcPr>
            <w:tcW w:w="1075" w:type="dxa"/>
            <w:vAlign w:val="center"/>
          </w:tcPr>
          <w:p w:rsidR="00857F24" w:rsidRPr="00212325" w:rsidRDefault="00857F24" w:rsidP="00857F24">
            <w:r w:rsidRPr="00212325">
              <w:t>T |   F</w:t>
            </w:r>
          </w:p>
        </w:tc>
        <w:tc>
          <w:tcPr>
            <w:tcW w:w="8550" w:type="dxa"/>
            <w:vAlign w:val="center"/>
          </w:tcPr>
          <w:p w:rsidR="00857F24" w:rsidRPr="00212325" w:rsidRDefault="00857F24" w:rsidP="00857F24">
            <w:r>
              <w:rPr>
                <w:rFonts w:eastAsia="Calibri" w:cstheme="minorHAnsi"/>
              </w:rPr>
              <w:t>Laws prohibit employment discrimination because of a disability.</w:t>
            </w:r>
          </w:p>
        </w:tc>
      </w:tr>
      <w:tr w:rsidR="00857F24" w:rsidRPr="00212325" w:rsidTr="00857F24">
        <w:trPr>
          <w:trHeight w:val="576"/>
        </w:trPr>
        <w:tc>
          <w:tcPr>
            <w:tcW w:w="1075" w:type="dxa"/>
            <w:vAlign w:val="center"/>
          </w:tcPr>
          <w:p w:rsidR="00857F24" w:rsidRPr="00212325" w:rsidRDefault="00857F24" w:rsidP="00857F24">
            <w:r w:rsidRPr="00212325">
              <w:t>T |   F</w:t>
            </w:r>
          </w:p>
        </w:tc>
        <w:tc>
          <w:tcPr>
            <w:tcW w:w="8550" w:type="dxa"/>
            <w:vAlign w:val="center"/>
          </w:tcPr>
          <w:p w:rsidR="00857F24" w:rsidRPr="00212325" w:rsidRDefault="00857F24" w:rsidP="00857F24">
            <w:r>
              <w:rPr>
                <w:rFonts w:eastAsia="Calibri" w:cstheme="minorHAnsi"/>
              </w:rPr>
              <w:t>A person traveling with a service animal cannot be denied access to transportation, even if there is a “no pets” policy.</w:t>
            </w:r>
          </w:p>
        </w:tc>
      </w:tr>
    </w:tbl>
    <w:p w:rsidR="00857F24" w:rsidRDefault="00857F24" w:rsidP="00857F24"/>
    <w:p w:rsidR="00857F24" w:rsidRDefault="00857F24" w:rsidP="00857F24">
      <w:pPr>
        <w:spacing w:line="237" w:lineRule="auto"/>
        <w:ind w:right="380"/>
        <w:rPr>
          <w:rFonts w:cstheme="minorHAnsi"/>
        </w:rPr>
      </w:pPr>
      <w:r w:rsidRPr="00857F24">
        <w:rPr>
          <w:b/>
          <w:bCs/>
        </w:rPr>
        <w:t>Resource:</w:t>
      </w:r>
      <w:r>
        <w:t xml:space="preserve"> “</w:t>
      </w:r>
      <w:r>
        <w:rPr>
          <w:rFonts w:eastAsia="Verdana" w:cstheme="minorHAnsi"/>
          <w:b/>
          <w:bCs/>
          <w:color w:val="1C3F94"/>
        </w:rPr>
        <w:t>Service Animals and Emotional Support Animals</w:t>
      </w:r>
      <w:r>
        <w:rPr>
          <w:rFonts w:cstheme="minorHAnsi"/>
        </w:rPr>
        <w:t xml:space="preserve">: </w:t>
      </w:r>
      <w:r>
        <w:rPr>
          <w:rFonts w:eastAsia="Verdana" w:cstheme="minorHAnsi"/>
          <w:b/>
          <w:bCs/>
          <w:color w:val="1C3F94"/>
        </w:rPr>
        <w:t xml:space="preserve">Where are they allowed and under what conditions?” (See </w:t>
      </w:r>
      <w:r w:rsidR="00D94CD2">
        <w:rPr>
          <w:rFonts w:eastAsia="Verdana" w:cstheme="minorHAnsi"/>
          <w:b/>
          <w:bCs/>
          <w:color w:val="1C3F94"/>
        </w:rPr>
        <w:t>Attachments</w:t>
      </w:r>
      <w:r>
        <w:rPr>
          <w:rFonts w:eastAsia="Verdana" w:cstheme="minorHAnsi"/>
          <w:b/>
          <w:bCs/>
          <w:color w:val="1C3F94"/>
        </w:rPr>
        <w:t xml:space="preserve"> Section)</w:t>
      </w:r>
    </w:p>
    <w:p w:rsidR="00857F24" w:rsidRPr="00F738EB" w:rsidRDefault="00857F24" w:rsidP="0014571B">
      <w:pPr>
        <w:rPr>
          <w:rFonts w:cstheme="minorHAnsi"/>
        </w:rPr>
        <w:sectPr w:rsidR="00857F24" w:rsidRPr="00F738EB" w:rsidSect="00C42C09">
          <w:footerReference w:type="default" r:id="rId66"/>
          <w:footerReference w:type="first" r:id="rId67"/>
          <w:pgSz w:w="12240" w:h="15840"/>
          <w:pgMar w:top="994" w:right="1440" w:bottom="1080" w:left="1440" w:header="0" w:footer="403" w:gutter="0"/>
          <w:cols w:space="720" w:equalWidth="0">
            <w:col w:w="9360"/>
          </w:cols>
          <w:titlePg/>
          <w:docGrid w:linePitch="326"/>
        </w:sectPr>
      </w:pPr>
    </w:p>
    <w:bookmarkStart w:id="35" w:name="page2"/>
    <w:bookmarkEnd w:id="35"/>
    <w:p w:rsidR="0014571B" w:rsidRDefault="0014571B" w:rsidP="00095E4B">
      <w:pPr>
        <w:spacing w:line="200" w:lineRule="exact"/>
        <w:rPr>
          <w:rFonts w:eastAsia="Calibri" w:cstheme="minorHAnsi"/>
        </w:rPr>
      </w:pPr>
      <w:r w:rsidRPr="00F738EB">
        <w:rPr>
          <w:rFonts w:cstheme="minorHAnsi"/>
          <w:noProof/>
        </w:rPr>
        <mc:AlternateContent>
          <mc:Choice Requires="wps">
            <w:drawing>
              <wp:anchor distT="0" distB="0" distL="114300" distR="114300" simplePos="0" relativeHeight="251669504" behindDoc="1" locked="0" layoutInCell="0" allowOverlap="1" wp14:anchorId="771341BD" wp14:editId="38CDEA52">
                <wp:simplePos x="0" y="0"/>
                <wp:positionH relativeFrom="page">
                  <wp:posOffset>910590</wp:posOffset>
                </wp:positionH>
                <wp:positionV relativeFrom="page">
                  <wp:posOffset>501015</wp:posOffset>
                </wp:positionV>
                <wp:extent cx="5953125" cy="0"/>
                <wp:effectExtent l="0" t="0" r="0" b="0"/>
                <wp:wrapNone/>
                <wp:docPr id="199"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125" cy="4763"/>
                        </a:xfrm>
                        <a:prstGeom prst="line">
                          <a:avLst/>
                        </a:prstGeom>
                        <a:solidFill>
                          <a:srgbClr val="FFFFFF"/>
                        </a:solidFill>
                        <a:ln w="38100">
                          <a:solidFill>
                            <a:srgbClr val="1F497D"/>
                          </a:solidFill>
                          <a:miter lim="800000"/>
                          <a:headEnd/>
                          <a:tailEnd/>
                        </a:ln>
                      </wps:spPr>
                      <wps:bodyPr/>
                    </wps:wsp>
                  </a:graphicData>
                </a:graphic>
              </wp:anchor>
            </w:drawing>
          </mc:Choice>
          <mc:Fallback>
            <w:pict>
              <v:line w14:anchorId="078E592B" id="Shape 10"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71.7pt,39.45pt" to="540.4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" o:allowincell="f" filled="t" strokecolor="#1f497d" strokeweight="3pt">
                <v:stroke joinstyle="miter"/>
                <o:lock v:ext="edit" shapetype="f"/>
                <w10:wrap anchorx="page" anchory="page"/>
              </v:line>
            </w:pict>
          </mc:Fallback>
        </mc:AlternateContent>
      </w:r>
    </w:p>
    <w:p w:rsidR="008C451D" w:rsidRDefault="008C451D" w:rsidP="008C451D">
      <w:pPr>
        <w:rPr>
          <w:rFonts w:cstheme="minorHAnsi"/>
        </w:rPr>
      </w:pPr>
    </w:p>
    <w:p w:rsidR="00793CB5" w:rsidRDefault="00793CB5" w:rsidP="008C451D">
      <w:pPr>
        <w:rPr>
          <w:rFonts w:cstheme="minorHAnsi"/>
        </w:rPr>
      </w:pPr>
    </w:p>
    <w:p w:rsidR="00793CB5" w:rsidRDefault="00793CB5" w:rsidP="008C451D">
      <w:pPr>
        <w:rPr>
          <w:rFonts w:cstheme="minorHAnsi"/>
        </w:rPr>
      </w:pPr>
    </w:p>
    <w:p w:rsidR="00793CB5" w:rsidRDefault="00793CB5" w:rsidP="008C451D">
      <w:pPr>
        <w:rPr>
          <w:rFonts w:cstheme="minorHAnsi"/>
        </w:rPr>
      </w:pPr>
    </w:p>
    <w:p w:rsidR="00793CB5" w:rsidRDefault="00793CB5" w:rsidP="008C451D">
      <w:pPr>
        <w:rPr>
          <w:rFonts w:cstheme="minorHAnsi"/>
        </w:rPr>
      </w:pPr>
    </w:p>
    <w:p w:rsidR="00793CB5" w:rsidRDefault="00793CB5" w:rsidP="008C451D">
      <w:pPr>
        <w:rPr>
          <w:rFonts w:cstheme="minorHAnsi"/>
        </w:rPr>
      </w:pPr>
    </w:p>
    <w:p w:rsidR="00793CB5" w:rsidRDefault="00793CB5" w:rsidP="008C451D">
      <w:pPr>
        <w:rPr>
          <w:rFonts w:cstheme="minorHAnsi"/>
        </w:rPr>
      </w:pPr>
    </w:p>
    <w:p w:rsidR="00793CB5" w:rsidRDefault="00793CB5" w:rsidP="008C451D">
      <w:pPr>
        <w:rPr>
          <w:rFonts w:cstheme="minorHAnsi"/>
        </w:rPr>
      </w:pPr>
    </w:p>
    <w:p w:rsidR="00793CB5" w:rsidRDefault="00793CB5" w:rsidP="008C451D">
      <w:pPr>
        <w:rPr>
          <w:rFonts w:cstheme="minorHAnsi"/>
        </w:rPr>
      </w:pPr>
    </w:p>
    <w:p w:rsidR="00793CB5" w:rsidRPr="008C451D" w:rsidRDefault="00793CB5" w:rsidP="008C451D">
      <w:pPr>
        <w:rPr>
          <w:rFonts w:cstheme="minorHAnsi"/>
        </w:rPr>
        <w:sectPr w:rsidR="00793CB5" w:rsidRPr="008C451D" w:rsidSect="004431F5">
          <w:type w:val="continuous"/>
          <w:pgSz w:w="12240" w:h="15840"/>
          <w:pgMar w:top="1241" w:right="1440" w:bottom="1080" w:left="1440" w:header="0" w:footer="0" w:gutter="0"/>
          <w:cols w:space="720"/>
        </w:sectPr>
      </w:pPr>
    </w:p>
    <w:bookmarkEnd w:id="34"/>
    <w:p w:rsidR="00B71825" w:rsidRDefault="00B71825" w:rsidP="00867D81">
      <w:pPr>
        <w:jc w:val="center"/>
      </w:pPr>
      <w:r>
        <w:rPr>
          <w:noProof/>
        </w:rPr>
        <w:lastRenderedPageBreak/>
        <w:drawing>
          <wp:inline distT="0" distB="0" distL="0" distR="0" wp14:anchorId="0A2E6057" wp14:editId="06B41CA5">
            <wp:extent cx="5286375" cy="2970591"/>
            <wp:effectExtent l="19050" t="19050" r="9525" b="203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de4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01303" cy="2978979"/>
                    </a:xfrm>
                    <a:prstGeom prst="rect">
                      <a:avLst/>
                    </a:prstGeom>
                    <a:ln>
                      <a:solidFill>
                        <a:schemeClr val="tx1"/>
                      </a:solidFill>
                    </a:ln>
                  </pic:spPr>
                </pic:pic>
              </a:graphicData>
            </a:graphic>
          </wp:inline>
        </w:drawing>
      </w:r>
    </w:p>
    <w:p w:rsidR="00B71825" w:rsidRDefault="00B71825" w:rsidP="00555CB7">
      <w:pPr>
        <w:pStyle w:val="Heading3"/>
      </w:pPr>
    </w:p>
    <w:p w:rsidR="00C615E4" w:rsidRDefault="00555CB7" w:rsidP="00555CB7">
      <w:pPr>
        <w:pStyle w:val="Heading3"/>
      </w:pPr>
      <w:bookmarkStart w:id="36" w:name="_Toc20256120"/>
      <w:r>
        <w:t>Case Study</w:t>
      </w:r>
      <w:bookmarkEnd w:id="36"/>
    </w:p>
    <w:p w:rsidR="00555CB7" w:rsidRDefault="00555CB7" w:rsidP="00555CB7"/>
    <w:p w:rsidR="003D4879" w:rsidRDefault="003D4879" w:rsidP="003D4879">
      <w:pPr>
        <w:widowControl w:val="0"/>
        <w:autoSpaceDE w:val="0"/>
        <w:autoSpaceDN w:val="0"/>
        <w:adjustRightInd w:val="0"/>
        <w:rPr>
          <w:rFonts w:ascii="Times New Roman" w:hAnsi="Times New Roman" w:cs="Times New Roman"/>
        </w:rPr>
      </w:pPr>
    </w:p>
    <w:p w:rsidR="00793CB5" w:rsidRPr="00A5086E" w:rsidRDefault="00793CB5" w:rsidP="00793CB5">
      <w:pPr>
        <w:widowControl w:val="0"/>
        <w:autoSpaceDE w:val="0"/>
        <w:autoSpaceDN w:val="0"/>
        <w:adjustRightInd w:val="0"/>
        <w:rPr>
          <w:rFonts w:cstheme="minorHAnsi"/>
          <w:color w:val="000000" w:themeColor="text1"/>
        </w:rPr>
      </w:pPr>
      <w:bookmarkStart w:id="37" w:name="_Hlk20234451"/>
      <w:r w:rsidRPr="00A5086E">
        <w:rPr>
          <w:rFonts w:cstheme="minorHAnsi"/>
          <w:color w:val="000000" w:themeColor="text1"/>
        </w:rPr>
        <w:t>143 A.3d 476</w:t>
      </w:r>
    </w:p>
    <w:p w:rsidR="00793CB5" w:rsidRPr="00A5086E" w:rsidRDefault="00793CB5" w:rsidP="00793CB5">
      <w:pPr>
        <w:widowControl w:val="0"/>
        <w:autoSpaceDE w:val="0"/>
        <w:autoSpaceDN w:val="0"/>
        <w:adjustRightInd w:val="0"/>
        <w:rPr>
          <w:rFonts w:cstheme="minorHAnsi"/>
          <w:color w:val="000000" w:themeColor="text1"/>
        </w:rPr>
      </w:pPr>
      <w:r w:rsidRPr="00A5086E">
        <w:rPr>
          <w:rFonts w:cstheme="minorHAnsi"/>
          <w:color w:val="000000" w:themeColor="text1"/>
        </w:rPr>
        <w:t>Commonwealth Court of Pennsylvania.</w:t>
      </w:r>
    </w:p>
    <w:p w:rsidR="00793CB5" w:rsidRPr="00A5086E" w:rsidRDefault="00793CB5" w:rsidP="00793CB5">
      <w:pPr>
        <w:widowControl w:val="0"/>
        <w:autoSpaceDE w:val="0"/>
        <w:autoSpaceDN w:val="0"/>
        <w:adjustRightInd w:val="0"/>
        <w:rPr>
          <w:rFonts w:cstheme="minorHAnsi"/>
          <w:color w:val="000000" w:themeColor="text1"/>
        </w:rPr>
      </w:pPr>
      <w:r w:rsidRPr="00A5086E">
        <w:rPr>
          <w:rFonts w:cstheme="minorHAnsi"/>
          <w:color w:val="000000" w:themeColor="text1"/>
        </w:rPr>
        <w:t>KENNEDY HOUSE, INC., Appellant</w:t>
      </w:r>
    </w:p>
    <w:p w:rsidR="00793CB5" w:rsidRPr="00A5086E" w:rsidRDefault="00793CB5" w:rsidP="00793CB5">
      <w:pPr>
        <w:widowControl w:val="0"/>
        <w:autoSpaceDE w:val="0"/>
        <w:autoSpaceDN w:val="0"/>
        <w:adjustRightInd w:val="0"/>
        <w:ind w:left="100" w:right="100"/>
        <w:rPr>
          <w:rFonts w:cstheme="minorHAnsi"/>
          <w:color w:val="000000" w:themeColor="text1"/>
        </w:rPr>
      </w:pPr>
      <w:r w:rsidRPr="00A5086E">
        <w:rPr>
          <w:rFonts w:cstheme="minorHAnsi"/>
          <w:color w:val="000000" w:themeColor="text1"/>
        </w:rPr>
        <w:t>v.</w:t>
      </w:r>
    </w:p>
    <w:p w:rsidR="00793CB5" w:rsidRPr="00A5086E" w:rsidRDefault="00793CB5" w:rsidP="00793CB5">
      <w:pPr>
        <w:widowControl w:val="0"/>
        <w:autoSpaceDE w:val="0"/>
        <w:autoSpaceDN w:val="0"/>
        <w:adjustRightInd w:val="0"/>
        <w:ind w:left="100" w:right="100"/>
        <w:rPr>
          <w:rFonts w:cstheme="minorHAnsi"/>
          <w:color w:val="000000" w:themeColor="text1"/>
        </w:rPr>
      </w:pPr>
      <w:r w:rsidRPr="00A5086E">
        <w:rPr>
          <w:rFonts w:cstheme="minorHAnsi"/>
          <w:color w:val="000000" w:themeColor="text1"/>
        </w:rPr>
        <w:t>PHILADELPHIA COMMISSION ON HUMAN RELATIONS.</w:t>
      </w:r>
    </w:p>
    <w:p w:rsidR="00793CB5" w:rsidRPr="00A5086E" w:rsidRDefault="00793CB5" w:rsidP="00793CB5">
      <w:pPr>
        <w:widowControl w:val="0"/>
        <w:autoSpaceDE w:val="0"/>
        <w:autoSpaceDN w:val="0"/>
        <w:adjustRightInd w:val="0"/>
        <w:ind w:left="200"/>
        <w:rPr>
          <w:rFonts w:cstheme="minorHAnsi"/>
          <w:color w:val="000000" w:themeColor="text1"/>
        </w:rPr>
      </w:pPr>
      <w:r w:rsidRPr="00A5086E">
        <w:rPr>
          <w:rFonts w:cstheme="minorHAnsi"/>
          <w:color w:val="000000" w:themeColor="text1"/>
        </w:rPr>
        <w:t>Argued May 12, 2016.</w:t>
      </w:r>
    </w:p>
    <w:p w:rsidR="00793CB5" w:rsidRPr="00A5086E" w:rsidRDefault="00793CB5" w:rsidP="00793CB5">
      <w:pPr>
        <w:widowControl w:val="0"/>
        <w:autoSpaceDE w:val="0"/>
        <w:autoSpaceDN w:val="0"/>
        <w:adjustRightInd w:val="0"/>
        <w:ind w:left="200"/>
        <w:rPr>
          <w:rFonts w:cstheme="minorHAnsi"/>
          <w:color w:val="000000" w:themeColor="text1"/>
        </w:rPr>
      </w:pPr>
      <w:r w:rsidRPr="00A5086E">
        <w:rPr>
          <w:rFonts w:cstheme="minorHAnsi"/>
          <w:color w:val="000000" w:themeColor="text1"/>
        </w:rPr>
        <w:t>|</w:t>
      </w:r>
    </w:p>
    <w:p w:rsidR="00793CB5" w:rsidRPr="00A5086E" w:rsidRDefault="00793CB5" w:rsidP="00793CB5">
      <w:pPr>
        <w:widowControl w:val="0"/>
        <w:autoSpaceDE w:val="0"/>
        <w:autoSpaceDN w:val="0"/>
        <w:adjustRightInd w:val="0"/>
        <w:ind w:left="200"/>
        <w:rPr>
          <w:rFonts w:cstheme="minorHAnsi"/>
          <w:color w:val="000000" w:themeColor="text1"/>
        </w:rPr>
      </w:pPr>
      <w:r w:rsidRPr="00A5086E">
        <w:rPr>
          <w:rFonts w:cstheme="minorHAnsi"/>
          <w:color w:val="000000" w:themeColor="text1"/>
        </w:rPr>
        <w:t>Decided July 11, 2016.</w:t>
      </w:r>
    </w:p>
    <w:p w:rsidR="00793CB5" w:rsidRPr="00A5086E" w:rsidRDefault="00793CB5" w:rsidP="00793CB5">
      <w:pPr>
        <w:widowControl w:val="0"/>
        <w:autoSpaceDE w:val="0"/>
        <w:autoSpaceDN w:val="0"/>
        <w:adjustRightInd w:val="0"/>
        <w:spacing w:before="400"/>
        <w:jc w:val="both"/>
        <w:rPr>
          <w:rFonts w:cstheme="minorHAnsi"/>
          <w:b/>
          <w:bCs/>
          <w:color w:val="000000" w:themeColor="text1"/>
        </w:rPr>
      </w:pPr>
      <w:bookmarkStart w:id="38" w:name="co_synopsis_1"/>
      <w:bookmarkEnd w:id="38"/>
      <w:r w:rsidRPr="00A5086E">
        <w:rPr>
          <w:rFonts w:cstheme="minorHAnsi"/>
          <w:b/>
          <w:bCs/>
          <w:color w:val="000000" w:themeColor="text1"/>
        </w:rPr>
        <w:t>Synopsis</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b/>
          <w:bCs/>
          <w:color w:val="000000" w:themeColor="text1"/>
        </w:rPr>
        <w:t>Background:</w:t>
      </w:r>
      <w:r w:rsidRPr="00A5086E">
        <w:rPr>
          <w:rFonts w:cstheme="minorHAnsi"/>
          <w:color w:val="000000" w:themeColor="text1"/>
        </w:rPr>
        <w:t xml:space="preserve"> Cooperative appealed decision of city commission on human relations, which concluded that it violated an ordinance prohibiting housing discrimination based on disability when it denied a prospective tenant shareholder’s request for an accommodation in the form of a waiver of its no-dog policy. The Court of Common Pleas, Philadelphia County, September Term 2014, No. 00535, Nina Wright Padilla, J., </w:t>
      </w:r>
      <w:hyperlink r:id="rId69" w:history="1">
        <w:r w:rsidRPr="00A5086E">
          <w:rPr>
            <w:rFonts w:cstheme="minorHAnsi"/>
            <w:color w:val="000000" w:themeColor="text1"/>
          </w:rPr>
          <w:t>2015 WL 6406729</w:t>
        </w:r>
      </w:hyperlink>
      <w:r w:rsidRPr="00A5086E">
        <w:rPr>
          <w:rFonts w:cstheme="minorHAnsi"/>
          <w:color w:val="000000" w:themeColor="text1"/>
        </w:rPr>
        <w:t>, denied appeal. Cooperative appealed.</w:t>
      </w:r>
    </w:p>
    <w:p w:rsidR="00793CB5" w:rsidRPr="00A5086E" w:rsidRDefault="00A82B37" w:rsidP="00793CB5">
      <w:pPr>
        <w:widowControl w:val="0"/>
        <w:autoSpaceDE w:val="0"/>
        <w:autoSpaceDN w:val="0"/>
        <w:adjustRightInd w:val="0"/>
        <w:spacing w:before="400"/>
        <w:jc w:val="both"/>
        <w:rPr>
          <w:rFonts w:cstheme="minorHAnsi"/>
          <w:color w:val="000000" w:themeColor="text1"/>
        </w:rPr>
      </w:pPr>
      <w:hyperlink w:anchor="co_anchor_F92039349007_1" w:history="1">
        <w:r w:rsidR="00793CB5" w:rsidRPr="00A5086E">
          <w:rPr>
            <w:rFonts w:cstheme="minorHAnsi"/>
            <w:b/>
            <w:bCs/>
            <w:color w:val="000000" w:themeColor="text1"/>
          </w:rPr>
          <w:t>[Holding:]</w:t>
        </w:r>
      </w:hyperlink>
      <w:r w:rsidR="00793CB5" w:rsidRPr="00A5086E">
        <w:rPr>
          <w:rFonts w:cstheme="minorHAnsi"/>
          <w:color w:val="000000" w:themeColor="text1"/>
        </w:rPr>
        <w:t xml:space="preserve"> The Commonwealth Court, No. 1263 C.D. 2015, </w:t>
      </w:r>
      <w:hyperlink r:id="rId70" w:history="1">
        <w:r w:rsidR="00793CB5" w:rsidRPr="00A5086E">
          <w:rPr>
            <w:rFonts w:cstheme="minorHAnsi"/>
            <w:color w:val="000000" w:themeColor="text1"/>
          </w:rPr>
          <w:t xml:space="preserve">Renée Cohn </w:t>
        </w:r>
        <w:proofErr w:type="spellStart"/>
        <w:r w:rsidR="00793CB5" w:rsidRPr="00A5086E">
          <w:rPr>
            <w:rFonts w:cstheme="minorHAnsi"/>
            <w:color w:val="000000" w:themeColor="text1"/>
          </w:rPr>
          <w:t>Jubelirer</w:t>
        </w:r>
        <w:proofErr w:type="spellEnd"/>
      </w:hyperlink>
      <w:r w:rsidR="00793CB5" w:rsidRPr="00A5086E">
        <w:rPr>
          <w:rFonts w:cstheme="minorHAnsi"/>
          <w:color w:val="000000" w:themeColor="text1"/>
        </w:rPr>
        <w:t>, J., held that there was an insufficient nexus between tenant’s disability, which stemmed from numerous conditions that affected her mobility, and the assistance provided by her dog.</w:t>
      </w:r>
    </w:p>
    <w:p w:rsidR="00793CB5" w:rsidRPr="00A5086E" w:rsidRDefault="00793CB5" w:rsidP="00793CB5">
      <w:pPr>
        <w:widowControl w:val="0"/>
        <w:autoSpaceDE w:val="0"/>
        <w:autoSpaceDN w:val="0"/>
        <w:adjustRightInd w:val="0"/>
        <w:spacing w:before="400"/>
        <w:jc w:val="both"/>
        <w:rPr>
          <w:rFonts w:cstheme="minorHAnsi"/>
          <w:color w:val="000000" w:themeColor="text1"/>
        </w:rPr>
      </w:pPr>
      <w:r w:rsidRPr="00A5086E">
        <w:rPr>
          <w:rFonts w:cstheme="minorHAnsi"/>
          <w:color w:val="000000" w:themeColor="text1"/>
        </w:rPr>
        <w:t>Reversed.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A82B37" w:rsidP="00793CB5">
      <w:pPr>
        <w:widowControl w:val="0"/>
        <w:autoSpaceDE w:val="0"/>
        <w:autoSpaceDN w:val="0"/>
        <w:adjustRightInd w:val="0"/>
        <w:jc w:val="both"/>
        <w:rPr>
          <w:rFonts w:cstheme="minorHAnsi"/>
          <w:color w:val="000000" w:themeColor="text1"/>
        </w:rPr>
      </w:pPr>
      <w:hyperlink r:id="rId71" w:history="1">
        <w:r w:rsidR="00793CB5" w:rsidRPr="00A5086E">
          <w:rPr>
            <w:rFonts w:cstheme="minorHAnsi"/>
            <w:color w:val="000000" w:themeColor="text1"/>
          </w:rPr>
          <w:t>Patricia A. McCullough</w:t>
        </w:r>
      </w:hyperlink>
      <w:r w:rsidR="00793CB5" w:rsidRPr="00A5086E">
        <w:rPr>
          <w:rFonts w:cstheme="minorHAnsi"/>
          <w:color w:val="000000" w:themeColor="text1"/>
        </w:rPr>
        <w:t>, J., dissented and filed opinion.</w:t>
      </w:r>
    </w:p>
    <w:p w:rsidR="00793CB5" w:rsidRPr="00A5086E" w:rsidRDefault="00793CB5" w:rsidP="00793CB5">
      <w:pPr>
        <w:widowControl w:val="0"/>
        <w:autoSpaceDE w:val="0"/>
        <w:autoSpaceDN w:val="0"/>
        <w:adjustRightInd w:val="0"/>
        <w:spacing w:before="200"/>
        <w:ind w:right="200"/>
        <w:jc w:val="both"/>
        <w:rPr>
          <w:rFonts w:cstheme="minorHAnsi"/>
          <w:color w:val="000000" w:themeColor="text1"/>
        </w:rPr>
      </w:pPr>
      <w:bookmarkStart w:id="39" w:name="co_headnotes_1"/>
      <w:bookmarkStart w:id="40" w:name="co_headnoteHeader_1"/>
      <w:bookmarkEnd w:id="39"/>
      <w:bookmarkEnd w:id="40"/>
      <w:r w:rsidRPr="00A5086E">
        <w:rPr>
          <w:rFonts w:cstheme="minorHAnsi"/>
          <w:color w:val="000000" w:themeColor="text1"/>
        </w:rPr>
        <w:lastRenderedPageBreak/>
        <w:t>West Headnotes (10)</w:t>
      </w:r>
      <w:bookmarkStart w:id="41" w:name="co_anchor_2039349007001_1"/>
      <w:bookmarkStart w:id="42" w:name="co_anchor_F12039349007_1"/>
      <w:bookmarkStart w:id="43" w:name="co_anchor_headNote_[1]_1"/>
      <w:bookmarkStart w:id="44" w:name="co_anchor_2039349007002_1"/>
      <w:bookmarkStart w:id="45" w:name="co_anchor_F22039349007_1"/>
      <w:bookmarkStart w:id="46" w:name="co_anchor_headNote_[2]_1"/>
      <w:bookmarkEnd w:id="41"/>
      <w:bookmarkEnd w:id="42"/>
      <w:bookmarkEnd w:id="43"/>
      <w:bookmarkEnd w:id="44"/>
      <w:bookmarkEnd w:id="45"/>
      <w:bookmarkEnd w:id="46"/>
    </w:p>
    <w:p w:rsidR="00793CB5" w:rsidRPr="00A5086E" w:rsidRDefault="00793CB5" w:rsidP="00793CB5">
      <w:pPr>
        <w:widowControl w:val="0"/>
        <w:autoSpaceDE w:val="0"/>
        <w:autoSpaceDN w:val="0"/>
        <w:adjustRightInd w:val="0"/>
        <w:jc w:val="both"/>
        <w:rPr>
          <w:rFonts w:cstheme="minorHAnsi"/>
          <w:color w:val="000000" w:themeColor="text1"/>
        </w:rPr>
      </w:pPr>
      <w:bookmarkStart w:id="47" w:name="co_anchor_2039349007003_1"/>
      <w:bookmarkEnd w:id="47"/>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93CB5" w:rsidRPr="00A5086E" w:rsidTr="00A7527B">
        <w:tc>
          <w:tcPr>
            <w:tcW w:w="600" w:type="dxa"/>
            <w:tcBorders>
              <w:top w:val="nil"/>
              <w:left w:val="nil"/>
              <w:bottom w:val="nil"/>
              <w:right w:val="nil"/>
            </w:tcBorders>
            <w:tcMar>
              <w:left w:w="30" w:type="dxa"/>
              <w:right w:w="30" w:type="dxa"/>
            </w:tcMar>
          </w:tcPr>
          <w:bookmarkStart w:id="48" w:name="co_anchor_F32039349007_1"/>
          <w:bookmarkStart w:id="49" w:name="co_anchor_headNote_[3]_1"/>
          <w:bookmarkEnd w:id="48"/>
          <w:bookmarkEnd w:id="49"/>
          <w:p w:rsidR="00793CB5" w:rsidRPr="00A5086E" w:rsidRDefault="00793CB5" w:rsidP="00A7527B">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fldChar w:fldCharType="begin"/>
            </w:r>
            <w:r w:rsidRPr="00A5086E">
              <w:rPr>
                <w:rFonts w:cstheme="minorHAnsi"/>
                <w:b/>
                <w:bCs/>
                <w:color w:val="000000" w:themeColor="text1"/>
              </w:rPr>
              <w:instrText xml:space="preserve">HYPERLINK "#co_anchor_B32039349007_1"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[3]</w:t>
            </w:r>
            <w:r w:rsidRPr="00A5086E">
              <w:rPr>
                <w:rFonts w:cstheme="minorHAnsi"/>
                <w:b/>
                <w:bCs/>
                <w:color w:val="000000" w:themeColor="text1"/>
              </w:rPr>
              <w:fldChar w:fldCharType="end"/>
            </w:r>
          </w:p>
          <w:p w:rsidR="00793CB5" w:rsidRPr="00A5086E" w:rsidRDefault="00793CB5" w:rsidP="00A7527B">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rsidR="00793CB5" w:rsidRPr="00A5086E" w:rsidRDefault="00A82B37" w:rsidP="00A7527B">
            <w:pPr>
              <w:widowControl w:val="0"/>
              <w:autoSpaceDE w:val="0"/>
              <w:autoSpaceDN w:val="0"/>
              <w:adjustRightInd w:val="0"/>
              <w:ind w:left="30" w:right="30"/>
              <w:rPr>
                <w:rFonts w:cstheme="minorHAnsi"/>
                <w:color w:val="000000" w:themeColor="text1"/>
              </w:rPr>
            </w:pPr>
            <w:hyperlink r:id="rId72" w:history="1">
              <w:r w:rsidR="00793CB5" w:rsidRPr="00A5086E">
                <w:rPr>
                  <w:rFonts w:cstheme="minorHAnsi"/>
                  <w:b/>
                  <w:bCs/>
                  <w:color w:val="000000" w:themeColor="text1"/>
                </w:rPr>
                <w:t>Civil Rights</w:t>
              </w:r>
            </w:hyperlink>
          </w:p>
          <w:p w:rsidR="00793CB5" w:rsidRPr="00A5086E" w:rsidRDefault="00A82B37" w:rsidP="00A7527B">
            <w:pPr>
              <w:widowControl w:val="0"/>
              <w:autoSpaceDE w:val="0"/>
              <w:autoSpaceDN w:val="0"/>
              <w:adjustRightInd w:val="0"/>
              <w:ind w:left="30" w:right="30"/>
              <w:rPr>
                <w:rFonts w:cstheme="minorHAnsi"/>
                <w:color w:val="000000" w:themeColor="text1"/>
              </w:rPr>
            </w:pPr>
            <w:hyperlink r:id="rId73" w:history="1">
              <w:r w:rsidR="00793CB5" w:rsidRPr="00A5086E">
                <w:rPr>
                  <w:rFonts w:cstheme="minorHAnsi"/>
                  <w:color w:val="000000" w:themeColor="text1"/>
                </w:rPr>
                <w:t>Judicial review and enforcement of administrative decisions</w:t>
              </w:r>
            </w:hyperlink>
          </w:p>
          <w:p w:rsidR="00793CB5" w:rsidRPr="00A5086E" w:rsidRDefault="00793CB5" w:rsidP="00A7527B">
            <w:pPr>
              <w:widowControl w:val="0"/>
              <w:autoSpaceDE w:val="0"/>
              <w:autoSpaceDN w:val="0"/>
              <w:adjustRightInd w:val="0"/>
              <w:ind w:left="30" w:right="30"/>
              <w:rPr>
                <w:rFonts w:cstheme="minorHAnsi"/>
                <w:color w:val="000000" w:themeColor="text1"/>
              </w:rPr>
            </w:pPr>
          </w:p>
        </w:tc>
      </w:tr>
      <w:tr w:rsidR="00793CB5" w:rsidRPr="00A5086E" w:rsidTr="00A7527B">
        <w:tc>
          <w:tcPr>
            <w:tcW w:w="60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Commonwealth Court could not consider arguments made by amici curiae on appeal of trial court’s decision denying cooperative’s appeal of decision of city commission on human relations, which concluded that cooperative violated ordinance prohibiting disability-based housing discrimination when it denied prospective tenant’s request for waiver of its no-dog policy; amici, residents of cooperative, had an interest in their safety, security, and quiet possession of their homes, but much of their arguments relied on facts and raised issues not part of parties’ record. </w:t>
            </w:r>
            <w:hyperlink r:id="rId74" w:history="1">
              <w:r w:rsidRPr="00A5086E">
                <w:rPr>
                  <w:rFonts w:cstheme="minorHAnsi"/>
                  <w:color w:val="000000" w:themeColor="text1"/>
                </w:rPr>
                <w:t xml:space="preserve">Rules </w:t>
              </w:r>
              <w:proofErr w:type="spellStart"/>
              <w:r w:rsidRPr="00A5086E">
                <w:rPr>
                  <w:rFonts w:cstheme="minorHAnsi"/>
                  <w:color w:val="000000" w:themeColor="text1"/>
                </w:rPr>
                <w:t>App.Proc</w:t>
              </w:r>
              <w:proofErr w:type="spellEnd"/>
              <w:r w:rsidRPr="00A5086E">
                <w:rPr>
                  <w:rFonts w:cstheme="minorHAnsi"/>
                  <w:color w:val="000000" w:themeColor="text1"/>
                </w:rPr>
                <w:t xml:space="preserve">., Rule 531(a), 42 </w:t>
              </w:r>
              <w:proofErr w:type="spellStart"/>
              <w:r w:rsidRPr="00A5086E">
                <w:rPr>
                  <w:rFonts w:cstheme="minorHAnsi"/>
                  <w:color w:val="000000" w:themeColor="text1"/>
                </w:rPr>
                <w:t>Pa.C.</w:t>
              </w:r>
              <w:proofErr w:type="gramStart"/>
              <w:r w:rsidRPr="00A5086E">
                <w:rPr>
                  <w:rFonts w:cstheme="minorHAnsi"/>
                  <w:color w:val="000000" w:themeColor="text1"/>
                </w:rPr>
                <w:t>S.A</w:t>
              </w:r>
              <w:proofErr w:type="spellEnd"/>
              <w:proofErr w:type="gramEnd"/>
            </w:hyperlink>
            <w:r w:rsidRPr="00A5086E">
              <w:rPr>
                <w:rFonts w:cstheme="minorHAnsi"/>
                <w:color w:val="000000" w:themeColor="text1"/>
              </w:rPr>
              <w:t>.</w:t>
            </w:r>
          </w:p>
          <w:bookmarkStart w:id="50" w:name="co_headnoteId_20393490070032016120106235"/>
          <w:bookmarkEnd w:id="50"/>
          <w:p w:rsidR="00793CB5" w:rsidRPr="00A5086E" w:rsidRDefault="00793CB5" w:rsidP="00A7527B">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"http://www.westlaw.com/Link/RelatedInformation/DocHeadnoteLink?docGuid=I6a4660b347a211e6b86bd602cb8781fa&amp;headnoteId=203934900700320161201062357&amp;originationContext=document&amp;vr=3.0&amp;rs=cblt1.0&amp;transitionType=CitingReferences&amp;contextData=(sc.Default)"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ind w:left="30" w:right="30"/>
              <w:rPr>
                <w:rFonts w:cstheme="minorHAnsi"/>
                <w:color w:val="000000" w:themeColor="text1"/>
              </w:rPr>
            </w:pPr>
          </w:p>
        </w:tc>
      </w:tr>
    </w:tbl>
    <w:p w:rsidR="00793CB5" w:rsidRPr="00A5086E" w:rsidRDefault="00793CB5" w:rsidP="00793CB5">
      <w:pPr>
        <w:widowControl w:val="0"/>
        <w:autoSpaceDE w:val="0"/>
        <w:autoSpaceDN w:val="0"/>
        <w:adjustRightInd w:val="0"/>
        <w:jc w:val="both"/>
        <w:rPr>
          <w:rFonts w:cstheme="minorHAnsi"/>
          <w:color w:val="000000" w:themeColor="text1"/>
        </w:rPr>
      </w:pPr>
      <w:bookmarkStart w:id="51" w:name="co_anchor_2039349007006_1"/>
      <w:bookmarkStart w:id="52" w:name="co_anchor_F42039349007_1"/>
      <w:bookmarkStart w:id="53" w:name="co_anchor_headNote_[4]_1"/>
      <w:bookmarkStart w:id="54" w:name="co_anchor_2039349007005_1"/>
      <w:bookmarkStart w:id="55" w:name="co_anchor_F52039349007_1"/>
      <w:bookmarkStart w:id="56" w:name="co_anchor_headNote_[5]_1"/>
      <w:bookmarkEnd w:id="51"/>
      <w:bookmarkEnd w:id="52"/>
      <w:bookmarkEnd w:id="53"/>
      <w:bookmarkEnd w:id="54"/>
      <w:bookmarkEnd w:id="55"/>
      <w:bookmarkEnd w:id="56"/>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93CB5" w:rsidRPr="00A5086E" w:rsidTr="00A7527B">
        <w:tc>
          <w:tcPr>
            <w:tcW w:w="600" w:type="dxa"/>
            <w:tcBorders>
              <w:top w:val="nil"/>
              <w:left w:val="nil"/>
              <w:bottom w:val="nil"/>
              <w:right w:val="nil"/>
            </w:tcBorders>
            <w:tcMar>
              <w:left w:w="30" w:type="dxa"/>
              <w:right w:w="30" w:type="dxa"/>
            </w:tcMar>
          </w:tcPr>
          <w:p w:rsidR="00793CB5" w:rsidRPr="00A5086E" w:rsidRDefault="00A82B37" w:rsidP="00A7527B">
            <w:pPr>
              <w:widowControl w:val="0"/>
              <w:autoSpaceDE w:val="0"/>
              <w:autoSpaceDN w:val="0"/>
              <w:adjustRightInd w:val="0"/>
              <w:ind w:left="30" w:right="30"/>
              <w:rPr>
                <w:rFonts w:cstheme="minorHAnsi"/>
                <w:b/>
                <w:bCs/>
                <w:color w:val="000000" w:themeColor="text1"/>
              </w:rPr>
            </w:pPr>
            <w:hyperlink w:anchor="co_anchor_B62039349007_1" w:history="1">
              <w:r w:rsidR="00793CB5" w:rsidRPr="00A5086E">
                <w:rPr>
                  <w:rFonts w:cstheme="minorHAnsi"/>
                  <w:b/>
                  <w:bCs/>
                  <w:color w:val="000000" w:themeColor="text1"/>
                  <w:vertAlign w:val="superscript"/>
                </w:rPr>
                <w:t>[6]</w:t>
              </w:r>
            </w:hyperlink>
          </w:p>
          <w:p w:rsidR="00793CB5" w:rsidRPr="00A5086E" w:rsidRDefault="00793CB5" w:rsidP="00A7527B">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rsidR="00793CB5" w:rsidRPr="00A5086E" w:rsidRDefault="00A82B37" w:rsidP="00A7527B">
            <w:pPr>
              <w:widowControl w:val="0"/>
              <w:autoSpaceDE w:val="0"/>
              <w:autoSpaceDN w:val="0"/>
              <w:adjustRightInd w:val="0"/>
              <w:ind w:left="30" w:right="30"/>
              <w:rPr>
                <w:rFonts w:cstheme="minorHAnsi"/>
                <w:color w:val="000000" w:themeColor="text1"/>
              </w:rPr>
            </w:pPr>
            <w:hyperlink r:id="rId75" w:history="1">
              <w:r w:rsidR="00793CB5" w:rsidRPr="00A5086E">
                <w:rPr>
                  <w:rFonts w:cstheme="minorHAnsi"/>
                  <w:b/>
                  <w:bCs/>
                  <w:color w:val="000000" w:themeColor="text1"/>
                </w:rPr>
                <w:t>Civil Rights</w:t>
              </w:r>
            </w:hyperlink>
          </w:p>
          <w:p w:rsidR="00793CB5" w:rsidRPr="00A5086E" w:rsidRDefault="00A82B37" w:rsidP="00A7527B">
            <w:pPr>
              <w:widowControl w:val="0"/>
              <w:autoSpaceDE w:val="0"/>
              <w:autoSpaceDN w:val="0"/>
              <w:adjustRightInd w:val="0"/>
              <w:ind w:left="30" w:right="30"/>
              <w:rPr>
                <w:rFonts w:cstheme="minorHAnsi"/>
                <w:color w:val="000000" w:themeColor="text1"/>
              </w:rPr>
            </w:pPr>
            <w:hyperlink r:id="rId76" w:history="1">
              <w:r w:rsidR="00793CB5" w:rsidRPr="00A5086E">
                <w:rPr>
                  <w:rFonts w:cstheme="minorHAnsi"/>
                  <w:color w:val="000000" w:themeColor="text1"/>
                </w:rPr>
                <w:t>Discrimination by reason of handicap, disability, or illness</w:t>
              </w:r>
            </w:hyperlink>
          </w:p>
          <w:p w:rsidR="00793CB5" w:rsidRPr="00A5086E" w:rsidRDefault="00793CB5" w:rsidP="00A7527B">
            <w:pPr>
              <w:widowControl w:val="0"/>
              <w:autoSpaceDE w:val="0"/>
              <w:autoSpaceDN w:val="0"/>
              <w:adjustRightInd w:val="0"/>
              <w:ind w:left="30" w:right="30"/>
              <w:rPr>
                <w:rFonts w:cstheme="minorHAnsi"/>
                <w:color w:val="000000" w:themeColor="text1"/>
              </w:rPr>
            </w:pPr>
          </w:p>
        </w:tc>
      </w:tr>
      <w:tr w:rsidR="00793CB5" w:rsidRPr="00A5086E" w:rsidTr="00A7527B">
        <w:tc>
          <w:tcPr>
            <w:tcW w:w="60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The Fair Housing Act (FHA) requires that an accommodation be offered to persons with disabilities if the accommodation is (1) reasonable and (2) necessary to (3) afford disabled persons an equal opportunity to use and enjoy housing. Fair Housing Act, § 804(f)(3)(B), </w:t>
            </w:r>
            <w:hyperlink r:id="rId77" w:anchor="co_pp_6deb0000dc6a3" w:history="1">
              <w:r w:rsidRPr="00A5086E">
                <w:rPr>
                  <w:rFonts w:cstheme="minorHAnsi"/>
                  <w:color w:val="000000" w:themeColor="text1"/>
                </w:rPr>
                <w:t>42 U.S.C.A. § 3604(f)(3)(B)</w:t>
              </w:r>
            </w:hyperlink>
            <w:r w:rsidRPr="00A5086E">
              <w:rPr>
                <w:rFonts w:cstheme="minorHAnsi"/>
                <w:color w:val="000000" w:themeColor="text1"/>
              </w:rPr>
              <w:t>.</w:t>
            </w:r>
          </w:p>
          <w:bookmarkStart w:id="57" w:name="co_headnoteId_20393490070062016120106235"/>
          <w:bookmarkEnd w:id="57"/>
          <w:p w:rsidR="00793CB5" w:rsidRPr="00A5086E" w:rsidRDefault="00793CB5" w:rsidP="00A7527B">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"http://www.westlaw.com/Link/RelatedInformation/DocHeadnoteLink?docGuid=I6a4660b347a211e6b86bd602cb8781fa&amp;headnoteId=203934900700620161201062357&amp;originationContext=document&amp;vr=3.0&amp;rs=cblt1.0&amp;transitionType=CitingReferences&amp;contextData=(sc.Default)"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ind w:left="30" w:right="30"/>
              <w:rPr>
                <w:rFonts w:cstheme="minorHAnsi"/>
                <w:color w:val="000000" w:themeColor="text1"/>
              </w:rPr>
            </w:pPr>
          </w:p>
        </w:tc>
      </w:tr>
    </w:tbl>
    <w:p w:rsidR="00793CB5" w:rsidRPr="00A5086E" w:rsidRDefault="00793CB5" w:rsidP="00793CB5">
      <w:pPr>
        <w:widowControl w:val="0"/>
        <w:autoSpaceDE w:val="0"/>
        <w:autoSpaceDN w:val="0"/>
        <w:adjustRightInd w:val="0"/>
        <w:jc w:val="both"/>
        <w:rPr>
          <w:rFonts w:cstheme="minorHAnsi"/>
          <w:color w:val="000000" w:themeColor="text1"/>
        </w:rPr>
      </w:pPr>
      <w:bookmarkStart w:id="58" w:name="co_anchor_F62039349007_1"/>
      <w:bookmarkStart w:id="59" w:name="co_anchor_headNote_[6]_1"/>
      <w:bookmarkStart w:id="60" w:name="co_anchor_2039349007007_1"/>
      <w:bookmarkEnd w:id="58"/>
      <w:bookmarkEnd w:id="59"/>
      <w:bookmarkEnd w:id="60"/>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93CB5" w:rsidRPr="00A5086E" w:rsidTr="00A7527B">
        <w:tc>
          <w:tcPr>
            <w:tcW w:w="600" w:type="dxa"/>
            <w:tcBorders>
              <w:top w:val="nil"/>
              <w:left w:val="nil"/>
              <w:bottom w:val="nil"/>
              <w:right w:val="nil"/>
            </w:tcBorders>
            <w:tcMar>
              <w:left w:w="30" w:type="dxa"/>
              <w:right w:w="30" w:type="dxa"/>
            </w:tcMar>
          </w:tcPr>
          <w:bookmarkStart w:id="61" w:name="co_anchor_F72039349007_1"/>
          <w:bookmarkStart w:id="62" w:name="co_anchor_headNote_[7]_1"/>
          <w:bookmarkEnd w:id="61"/>
          <w:bookmarkEnd w:id="62"/>
          <w:p w:rsidR="00793CB5" w:rsidRPr="00A5086E" w:rsidRDefault="00793CB5" w:rsidP="00A7527B">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fldChar w:fldCharType="begin"/>
            </w:r>
            <w:r w:rsidRPr="00A5086E">
              <w:rPr>
                <w:rFonts w:cstheme="minorHAnsi"/>
                <w:b/>
                <w:bCs/>
                <w:color w:val="000000" w:themeColor="text1"/>
              </w:rPr>
              <w:instrText xml:space="preserve">HYPERLINK "#co_anchor_B72039349007_1"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[7]</w:t>
            </w:r>
            <w:r w:rsidRPr="00A5086E">
              <w:rPr>
                <w:rFonts w:cstheme="minorHAnsi"/>
                <w:b/>
                <w:bCs/>
                <w:color w:val="000000" w:themeColor="text1"/>
              </w:rPr>
              <w:fldChar w:fldCharType="end"/>
            </w:r>
          </w:p>
          <w:p w:rsidR="00793CB5" w:rsidRPr="00A5086E" w:rsidRDefault="00793CB5" w:rsidP="00A7527B">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rsidR="00793CB5" w:rsidRPr="00A5086E" w:rsidRDefault="00A82B37" w:rsidP="00A7527B">
            <w:pPr>
              <w:widowControl w:val="0"/>
              <w:autoSpaceDE w:val="0"/>
              <w:autoSpaceDN w:val="0"/>
              <w:adjustRightInd w:val="0"/>
              <w:ind w:left="30" w:right="30"/>
              <w:rPr>
                <w:rFonts w:cstheme="minorHAnsi"/>
                <w:color w:val="000000" w:themeColor="text1"/>
              </w:rPr>
            </w:pPr>
            <w:hyperlink r:id="rId78" w:history="1">
              <w:r w:rsidR="00793CB5" w:rsidRPr="00A5086E">
                <w:rPr>
                  <w:rFonts w:cstheme="minorHAnsi"/>
                  <w:b/>
                  <w:bCs/>
                  <w:color w:val="000000" w:themeColor="text1"/>
                </w:rPr>
                <w:t>Civil Rights</w:t>
              </w:r>
            </w:hyperlink>
          </w:p>
          <w:p w:rsidR="00793CB5" w:rsidRPr="00A5086E" w:rsidRDefault="00A82B37" w:rsidP="00A7527B">
            <w:pPr>
              <w:widowControl w:val="0"/>
              <w:autoSpaceDE w:val="0"/>
              <w:autoSpaceDN w:val="0"/>
              <w:adjustRightInd w:val="0"/>
              <w:ind w:left="30" w:right="30"/>
              <w:rPr>
                <w:rFonts w:cstheme="minorHAnsi"/>
                <w:color w:val="000000" w:themeColor="text1"/>
              </w:rPr>
            </w:pPr>
            <w:hyperlink r:id="rId79" w:history="1">
              <w:r w:rsidR="00793CB5" w:rsidRPr="00A5086E">
                <w:rPr>
                  <w:rFonts w:cstheme="minorHAnsi"/>
                  <w:color w:val="000000" w:themeColor="text1"/>
                </w:rPr>
                <w:t>Discrimination by reason of handicap, disability, or illness</w:t>
              </w:r>
            </w:hyperlink>
          </w:p>
          <w:p w:rsidR="00793CB5" w:rsidRPr="00A5086E" w:rsidRDefault="00793CB5" w:rsidP="00A7527B">
            <w:pPr>
              <w:widowControl w:val="0"/>
              <w:autoSpaceDE w:val="0"/>
              <w:autoSpaceDN w:val="0"/>
              <w:adjustRightInd w:val="0"/>
              <w:ind w:left="30" w:right="30"/>
              <w:rPr>
                <w:rFonts w:cstheme="minorHAnsi"/>
                <w:color w:val="000000" w:themeColor="text1"/>
              </w:rPr>
            </w:pPr>
          </w:p>
        </w:tc>
      </w:tr>
      <w:tr w:rsidR="00793CB5" w:rsidRPr="00A5086E" w:rsidTr="00C37C44">
        <w:trPr>
          <w:trHeight w:val="1647"/>
        </w:trPr>
        <w:tc>
          <w:tcPr>
            <w:tcW w:w="60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In order to satisfy the requirement of the Fair Housing Act (FHA) that a housing accommodation be necessary, a complainant must demonstrate a direct linkage between the proposed accommodation and the equal opportunity to use and enjoy housing to be provided. Fair Housing Act, § 804(f)(3)(B), </w:t>
            </w:r>
            <w:hyperlink r:id="rId80" w:anchor="co_pp_6deb0000dc6a3" w:history="1">
              <w:r w:rsidRPr="00A5086E">
                <w:rPr>
                  <w:rFonts w:cstheme="minorHAnsi"/>
                  <w:color w:val="000000" w:themeColor="text1"/>
                </w:rPr>
                <w:t>42 U.S.C.A. § 3604(f)(3)(B)</w:t>
              </w:r>
            </w:hyperlink>
            <w:r w:rsidRPr="00A5086E">
              <w:rPr>
                <w:rFonts w:cstheme="minorHAnsi"/>
                <w:color w:val="000000" w:themeColor="text1"/>
              </w:rPr>
              <w:t>.</w:t>
            </w:r>
          </w:p>
          <w:bookmarkStart w:id="63" w:name="co_headnoteId_20393490070072016120106235"/>
          <w:bookmarkEnd w:id="63"/>
          <w:p w:rsidR="00793CB5" w:rsidRPr="00A5086E" w:rsidRDefault="00793CB5" w:rsidP="00C37C44">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"http://www.westlaw.com/Link/RelatedInformation/DocHeadnoteLink?docGuid=I6a4660b347a211e6b86bd602cb8781fa&amp;headnoteId=203934900700720161201062357&amp;originationContext=document&amp;vr=3.0&amp;rs=cblt1.0&amp;transitionType=CitingReferences&amp;contextData=(sc.Default)"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tc>
      </w:tr>
    </w:tbl>
    <w:p w:rsidR="00793CB5" w:rsidRPr="00A5086E" w:rsidRDefault="00793CB5" w:rsidP="00793CB5">
      <w:pPr>
        <w:widowControl w:val="0"/>
        <w:autoSpaceDE w:val="0"/>
        <w:autoSpaceDN w:val="0"/>
        <w:adjustRightInd w:val="0"/>
        <w:jc w:val="both"/>
        <w:rPr>
          <w:rFonts w:cstheme="minorHAnsi"/>
          <w:color w:val="000000" w:themeColor="text1"/>
        </w:rPr>
      </w:pPr>
      <w:bookmarkStart w:id="64" w:name="co_anchor_2039349007008_1"/>
      <w:bookmarkEnd w:id="64"/>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93CB5" w:rsidRPr="00A5086E" w:rsidTr="00A7527B">
        <w:tc>
          <w:tcPr>
            <w:tcW w:w="600" w:type="dxa"/>
            <w:tcBorders>
              <w:top w:val="nil"/>
              <w:left w:val="nil"/>
              <w:bottom w:val="nil"/>
              <w:right w:val="nil"/>
            </w:tcBorders>
            <w:tcMar>
              <w:left w:w="30" w:type="dxa"/>
              <w:right w:w="30" w:type="dxa"/>
            </w:tcMar>
          </w:tcPr>
          <w:bookmarkStart w:id="65" w:name="co_anchor_F82039349007_1"/>
          <w:bookmarkStart w:id="66" w:name="co_anchor_headNote_[8]_1"/>
          <w:bookmarkEnd w:id="65"/>
          <w:bookmarkEnd w:id="66"/>
          <w:p w:rsidR="00793CB5" w:rsidRPr="00A5086E" w:rsidRDefault="00793CB5" w:rsidP="00A7527B">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fldChar w:fldCharType="begin"/>
            </w:r>
            <w:r w:rsidRPr="00A5086E">
              <w:rPr>
                <w:rFonts w:cstheme="minorHAnsi"/>
                <w:b/>
                <w:bCs/>
                <w:color w:val="000000" w:themeColor="text1"/>
              </w:rPr>
              <w:instrText xml:space="preserve">HYPERLINK "#co_anchor_B82039349007_1"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[8]</w:t>
            </w:r>
            <w:r w:rsidRPr="00A5086E">
              <w:rPr>
                <w:rFonts w:cstheme="minorHAnsi"/>
                <w:b/>
                <w:bCs/>
                <w:color w:val="000000" w:themeColor="text1"/>
              </w:rPr>
              <w:fldChar w:fldCharType="end"/>
            </w:r>
          </w:p>
          <w:p w:rsidR="00793CB5" w:rsidRPr="00A5086E" w:rsidRDefault="00793CB5" w:rsidP="00A7527B">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rsidR="00793CB5" w:rsidRPr="00A5086E" w:rsidRDefault="00A82B37" w:rsidP="00A7527B">
            <w:pPr>
              <w:widowControl w:val="0"/>
              <w:autoSpaceDE w:val="0"/>
              <w:autoSpaceDN w:val="0"/>
              <w:adjustRightInd w:val="0"/>
              <w:ind w:left="30" w:right="30"/>
              <w:rPr>
                <w:rFonts w:cstheme="minorHAnsi"/>
                <w:color w:val="000000" w:themeColor="text1"/>
              </w:rPr>
            </w:pPr>
            <w:hyperlink r:id="rId81" w:history="1">
              <w:r w:rsidR="00793CB5" w:rsidRPr="00A5086E">
                <w:rPr>
                  <w:rFonts w:cstheme="minorHAnsi"/>
                  <w:b/>
                  <w:bCs/>
                  <w:color w:val="000000" w:themeColor="text1"/>
                </w:rPr>
                <w:t>Civil Rights</w:t>
              </w:r>
            </w:hyperlink>
          </w:p>
          <w:p w:rsidR="00793CB5" w:rsidRPr="00A5086E" w:rsidRDefault="00A82B37" w:rsidP="00A7527B">
            <w:pPr>
              <w:widowControl w:val="0"/>
              <w:autoSpaceDE w:val="0"/>
              <w:autoSpaceDN w:val="0"/>
              <w:adjustRightInd w:val="0"/>
              <w:ind w:left="30" w:right="30"/>
              <w:rPr>
                <w:rFonts w:cstheme="minorHAnsi"/>
                <w:color w:val="000000" w:themeColor="text1"/>
              </w:rPr>
            </w:pPr>
            <w:hyperlink r:id="rId82" w:history="1">
              <w:r w:rsidR="00793CB5" w:rsidRPr="00A5086E">
                <w:rPr>
                  <w:rFonts w:cstheme="minorHAnsi"/>
                  <w:color w:val="000000" w:themeColor="text1"/>
                </w:rPr>
                <w:t>Discrimination by reason of handicap, disability, or illness</w:t>
              </w:r>
            </w:hyperlink>
          </w:p>
          <w:p w:rsidR="00793CB5" w:rsidRPr="00A5086E" w:rsidRDefault="00793CB5" w:rsidP="00A7527B">
            <w:pPr>
              <w:widowControl w:val="0"/>
              <w:autoSpaceDE w:val="0"/>
              <w:autoSpaceDN w:val="0"/>
              <w:adjustRightInd w:val="0"/>
              <w:ind w:left="30" w:right="30"/>
              <w:rPr>
                <w:rFonts w:cstheme="minorHAnsi"/>
                <w:color w:val="000000" w:themeColor="text1"/>
              </w:rPr>
            </w:pPr>
          </w:p>
        </w:tc>
      </w:tr>
      <w:tr w:rsidR="00793CB5" w:rsidRPr="00A5086E" w:rsidTr="00A7527B">
        <w:tc>
          <w:tcPr>
            <w:tcW w:w="60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If the proposed housing accommodation provides no direct amelioration of a disability’s effect, it cannot be said to be necessary under the Fair Housing Act (FHA). Fair Housing Act, § 804(f)(3)(B), </w:t>
            </w:r>
            <w:hyperlink r:id="rId83" w:anchor="co_pp_6deb0000dc6a3" w:history="1">
              <w:r w:rsidRPr="00A5086E">
                <w:rPr>
                  <w:rFonts w:cstheme="minorHAnsi"/>
                  <w:color w:val="000000" w:themeColor="text1"/>
                </w:rPr>
                <w:t>42 U.S.C.A. § 3604(f)(3)(B)</w:t>
              </w:r>
            </w:hyperlink>
            <w:r w:rsidRPr="00A5086E">
              <w:rPr>
                <w:rFonts w:cstheme="minorHAnsi"/>
                <w:color w:val="000000" w:themeColor="text1"/>
              </w:rPr>
              <w:t>.</w:t>
            </w:r>
          </w:p>
          <w:bookmarkStart w:id="67" w:name="co_headnoteId_20393490070082016120106235"/>
          <w:bookmarkEnd w:id="67"/>
          <w:p w:rsidR="00793CB5" w:rsidRPr="00A5086E" w:rsidRDefault="00793CB5" w:rsidP="00A7527B">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"http://www.westlaw.com/Link/RelatedInformation/DocHeadnoteLink?docGuid=I6a4660b347a211e6b86bd602cb8781fa&amp;headnoteId=203934900700820161201062357&amp;originationContext=document&amp;vr=3.0&amp;rs=cblt1.0&amp;transitionType=CitingReferences&amp;contextData=(sc.Default)"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ind w:left="30" w:right="30"/>
              <w:rPr>
                <w:rFonts w:cstheme="minorHAnsi"/>
                <w:color w:val="000000" w:themeColor="text1"/>
              </w:rPr>
            </w:pPr>
          </w:p>
        </w:tc>
      </w:tr>
    </w:tbl>
    <w:p w:rsidR="00793CB5" w:rsidRPr="00A5086E" w:rsidRDefault="00793CB5" w:rsidP="00793CB5">
      <w:pPr>
        <w:widowControl w:val="0"/>
        <w:autoSpaceDE w:val="0"/>
        <w:autoSpaceDN w:val="0"/>
        <w:adjustRightInd w:val="0"/>
        <w:jc w:val="both"/>
        <w:rPr>
          <w:rFonts w:cstheme="minorHAnsi"/>
          <w:color w:val="000000" w:themeColor="text1"/>
        </w:rPr>
      </w:pPr>
      <w:bookmarkStart w:id="68" w:name="co_anchor_2039349007009_1"/>
      <w:bookmarkEnd w:id="68"/>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93CB5" w:rsidRPr="00A5086E" w:rsidTr="00A7527B">
        <w:tc>
          <w:tcPr>
            <w:tcW w:w="600" w:type="dxa"/>
            <w:tcBorders>
              <w:top w:val="nil"/>
              <w:left w:val="nil"/>
              <w:bottom w:val="nil"/>
              <w:right w:val="nil"/>
            </w:tcBorders>
            <w:tcMar>
              <w:left w:w="30" w:type="dxa"/>
              <w:right w:w="30" w:type="dxa"/>
            </w:tcMar>
          </w:tcPr>
          <w:bookmarkStart w:id="69" w:name="co_anchor_F92039349007_1"/>
          <w:bookmarkStart w:id="70" w:name="co_anchor_headNote_[9]_1"/>
          <w:bookmarkEnd w:id="69"/>
          <w:bookmarkEnd w:id="70"/>
          <w:p w:rsidR="00793CB5" w:rsidRPr="00A5086E" w:rsidRDefault="00793CB5" w:rsidP="00A7527B">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lastRenderedPageBreak/>
              <w:fldChar w:fldCharType="begin"/>
            </w:r>
            <w:r w:rsidRPr="00A5086E">
              <w:rPr>
                <w:rFonts w:cstheme="minorHAnsi"/>
                <w:b/>
                <w:bCs/>
                <w:color w:val="000000" w:themeColor="text1"/>
              </w:rPr>
              <w:instrText xml:space="preserve">HYPERLINK "#co_anchor_B92039349007_1"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[9]</w:t>
            </w:r>
            <w:r w:rsidRPr="00A5086E">
              <w:rPr>
                <w:rFonts w:cstheme="minorHAnsi"/>
                <w:b/>
                <w:bCs/>
                <w:color w:val="000000" w:themeColor="text1"/>
              </w:rPr>
              <w:fldChar w:fldCharType="end"/>
            </w:r>
          </w:p>
          <w:p w:rsidR="00793CB5" w:rsidRPr="00A5086E" w:rsidRDefault="00793CB5" w:rsidP="00A7527B">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rsidR="00793CB5" w:rsidRPr="00A5086E" w:rsidRDefault="00A82B37" w:rsidP="00A7527B">
            <w:pPr>
              <w:widowControl w:val="0"/>
              <w:autoSpaceDE w:val="0"/>
              <w:autoSpaceDN w:val="0"/>
              <w:adjustRightInd w:val="0"/>
              <w:ind w:left="30" w:right="30"/>
              <w:rPr>
                <w:rFonts w:cstheme="minorHAnsi"/>
                <w:color w:val="000000" w:themeColor="text1"/>
              </w:rPr>
            </w:pPr>
            <w:hyperlink r:id="rId84" w:history="1">
              <w:r w:rsidR="00793CB5" w:rsidRPr="00A5086E">
                <w:rPr>
                  <w:rFonts w:cstheme="minorHAnsi"/>
                  <w:b/>
                  <w:bCs/>
                  <w:color w:val="000000" w:themeColor="text1"/>
                </w:rPr>
                <w:t>Civil Rights</w:t>
              </w:r>
            </w:hyperlink>
          </w:p>
          <w:p w:rsidR="00793CB5" w:rsidRPr="00A5086E" w:rsidRDefault="00A82B37" w:rsidP="00A7527B">
            <w:pPr>
              <w:widowControl w:val="0"/>
              <w:autoSpaceDE w:val="0"/>
              <w:autoSpaceDN w:val="0"/>
              <w:adjustRightInd w:val="0"/>
              <w:ind w:left="30" w:right="30"/>
              <w:rPr>
                <w:rFonts w:cstheme="minorHAnsi"/>
                <w:color w:val="000000" w:themeColor="text1"/>
              </w:rPr>
            </w:pPr>
            <w:hyperlink r:id="rId85" w:history="1">
              <w:r w:rsidR="00793CB5" w:rsidRPr="00A5086E">
                <w:rPr>
                  <w:rFonts w:cstheme="minorHAnsi"/>
                  <w:color w:val="000000" w:themeColor="text1"/>
                </w:rPr>
                <w:t>Physical access and mobility; carriers</w:t>
              </w:r>
            </w:hyperlink>
          </w:p>
          <w:p w:rsidR="00793CB5" w:rsidRPr="00A5086E" w:rsidRDefault="00793CB5" w:rsidP="00A7527B">
            <w:pPr>
              <w:widowControl w:val="0"/>
              <w:autoSpaceDE w:val="0"/>
              <w:autoSpaceDN w:val="0"/>
              <w:adjustRightInd w:val="0"/>
              <w:ind w:left="30" w:right="30"/>
              <w:rPr>
                <w:rFonts w:cstheme="minorHAnsi"/>
                <w:color w:val="000000" w:themeColor="text1"/>
              </w:rPr>
            </w:pPr>
          </w:p>
        </w:tc>
      </w:tr>
      <w:tr w:rsidR="00793CB5" w:rsidRPr="00A5086E" w:rsidTr="00A7527B">
        <w:tc>
          <w:tcPr>
            <w:tcW w:w="60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There was an insufficient nexus between a prospective tenant shareholder’s disability, which stemmed from numerous conditions that affected her mobility, and the assistance provided by her dog, and thus cooperative was not required to waive its no-dog policy as a reasonable accommodation under ordinance prohibiting housing discrimination based on disability; although tenant’s physician attested that tenant’s medical issues affected her mobility and that she benefited from the support of a service dog, tenant stated that her dog did not assist her with mobility and instead assisted her by reminding her to take medications and get out of bed.</w:t>
            </w:r>
          </w:p>
          <w:bookmarkStart w:id="71" w:name="co_headnoteId_20393490070092016120106235"/>
          <w:bookmarkEnd w:id="71"/>
          <w:p w:rsidR="00793CB5" w:rsidRPr="00A5086E" w:rsidRDefault="00793CB5" w:rsidP="00C37C44">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"http://www.westlaw.com/Link/RelatedInformation/DocHeadnoteLink?docGuid=I6a4660b347a211e6b86bd602cb8781fa&amp;headnoteId=203934900700920161201062357&amp;originationContext=document&amp;vr=3.0&amp;rs=cblt1.0&amp;transitionType=CitingReferences&amp;contextData=(sc.Default)"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tc>
      </w:tr>
    </w:tbl>
    <w:p w:rsidR="00793CB5" w:rsidRPr="00A5086E" w:rsidRDefault="00793CB5" w:rsidP="00793CB5">
      <w:pPr>
        <w:widowControl w:val="0"/>
        <w:autoSpaceDE w:val="0"/>
        <w:autoSpaceDN w:val="0"/>
        <w:adjustRightInd w:val="0"/>
        <w:jc w:val="both"/>
        <w:rPr>
          <w:rFonts w:cstheme="minorHAnsi"/>
          <w:color w:val="000000" w:themeColor="text1"/>
        </w:rPr>
      </w:pPr>
      <w:bookmarkStart w:id="72" w:name="co_anchor_2039349007010_1"/>
      <w:bookmarkEnd w:id="72"/>
    </w:p>
    <w:tbl>
      <w:tblPr>
        <w:tblW w:w="0" w:type="auto"/>
        <w:tblInd w:w="30" w:type="dxa"/>
        <w:tblLayout w:type="fixed"/>
        <w:tblCellMar>
          <w:left w:w="0" w:type="dxa"/>
          <w:right w:w="0" w:type="dxa"/>
        </w:tblCellMar>
        <w:tblLook w:val="0000" w:firstRow="0" w:lastRow="0" w:firstColumn="0" w:lastColumn="0" w:noHBand="0" w:noVBand="0"/>
      </w:tblPr>
      <w:tblGrid>
        <w:gridCol w:w="600"/>
        <w:gridCol w:w="9450"/>
      </w:tblGrid>
      <w:tr w:rsidR="00793CB5" w:rsidRPr="00A5086E" w:rsidTr="00A7527B">
        <w:tc>
          <w:tcPr>
            <w:tcW w:w="600" w:type="dxa"/>
            <w:tcBorders>
              <w:top w:val="nil"/>
              <w:left w:val="nil"/>
              <w:bottom w:val="nil"/>
              <w:right w:val="nil"/>
            </w:tcBorders>
            <w:tcMar>
              <w:left w:w="30" w:type="dxa"/>
              <w:right w:w="30" w:type="dxa"/>
            </w:tcMar>
          </w:tcPr>
          <w:bookmarkStart w:id="73" w:name="co_anchor_F102039349007_1"/>
          <w:bookmarkStart w:id="74" w:name="co_anchor_headNote_[10]_1"/>
          <w:bookmarkEnd w:id="73"/>
          <w:bookmarkEnd w:id="74"/>
          <w:p w:rsidR="00793CB5" w:rsidRPr="00A5086E" w:rsidRDefault="00793CB5" w:rsidP="00A7527B">
            <w:pPr>
              <w:widowControl w:val="0"/>
              <w:autoSpaceDE w:val="0"/>
              <w:autoSpaceDN w:val="0"/>
              <w:adjustRightInd w:val="0"/>
              <w:ind w:left="30" w:right="30"/>
              <w:rPr>
                <w:rFonts w:cstheme="minorHAnsi"/>
                <w:b/>
                <w:bCs/>
                <w:color w:val="000000" w:themeColor="text1"/>
              </w:rPr>
            </w:pPr>
            <w:r w:rsidRPr="00A5086E">
              <w:rPr>
                <w:rFonts w:cstheme="minorHAnsi"/>
                <w:b/>
                <w:bCs/>
                <w:color w:val="000000" w:themeColor="text1"/>
              </w:rPr>
              <w:fldChar w:fldCharType="begin"/>
            </w:r>
            <w:r w:rsidRPr="00A5086E">
              <w:rPr>
                <w:rFonts w:cstheme="minorHAnsi"/>
                <w:b/>
                <w:bCs/>
                <w:color w:val="000000" w:themeColor="text1"/>
              </w:rPr>
              <w:instrText xml:space="preserve">HYPERLINK "#co_anchor_B102039349007_1" </w:instrText>
            </w:r>
            <w:r w:rsidRPr="00A5086E">
              <w:rPr>
                <w:rFonts w:cstheme="minorHAnsi"/>
                <w:b/>
                <w:bCs/>
                <w:color w:val="000000" w:themeColor="text1"/>
              </w:rPr>
              <w:fldChar w:fldCharType="separate"/>
            </w:r>
            <w:r w:rsidRPr="00A5086E">
              <w:rPr>
                <w:rFonts w:cstheme="minorHAnsi"/>
                <w:b/>
                <w:bCs/>
                <w:color w:val="000000" w:themeColor="text1"/>
                <w:vertAlign w:val="superscript"/>
              </w:rPr>
              <w:t>[10]</w:t>
            </w:r>
            <w:r w:rsidRPr="00A5086E">
              <w:rPr>
                <w:rFonts w:cstheme="minorHAnsi"/>
                <w:b/>
                <w:bCs/>
                <w:color w:val="000000" w:themeColor="text1"/>
              </w:rPr>
              <w:fldChar w:fldCharType="end"/>
            </w:r>
          </w:p>
          <w:p w:rsidR="00793CB5" w:rsidRPr="00A5086E" w:rsidRDefault="00793CB5" w:rsidP="00A7527B">
            <w:pPr>
              <w:widowControl w:val="0"/>
              <w:autoSpaceDE w:val="0"/>
              <w:autoSpaceDN w:val="0"/>
              <w:adjustRightInd w:val="0"/>
              <w:ind w:left="30" w:right="30"/>
              <w:rPr>
                <w:rFonts w:cstheme="minorHAnsi"/>
                <w:b/>
                <w:bCs/>
                <w:color w:val="000000" w:themeColor="text1"/>
              </w:rPr>
            </w:pPr>
          </w:p>
        </w:tc>
        <w:tc>
          <w:tcPr>
            <w:tcW w:w="9450" w:type="dxa"/>
            <w:tcBorders>
              <w:top w:val="nil"/>
              <w:left w:val="nil"/>
              <w:bottom w:val="nil"/>
              <w:right w:val="nil"/>
            </w:tcBorders>
            <w:tcMar>
              <w:left w:w="30" w:type="dxa"/>
              <w:right w:w="30" w:type="dxa"/>
            </w:tcMar>
          </w:tcPr>
          <w:p w:rsidR="00793CB5" w:rsidRPr="00A5086E" w:rsidRDefault="00A82B37" w:rsidP="00C37C44">
            <w:pPr>
              <w:widowControl w:val="0"/>
              <w:autoSpaceDE w:val="0"/>
              <w:autoSpaceDN w:val="0"/>
              <w:adjustRightInd w:val="0"/>
              <w:ind w:right="30"/>
              <w:rPr>
                <w:rFonts w:cstheme="minorHAnsi"/>
                <w:color w:val="000000" w:themeColor="text1"/>
              </w:rPr>
            </w:pPr>
            <w:hyperlink r:id="rId86" w:history="1">
              <w:r w:rsidR="00793CB5" w:rsidRPr="00A5086E">
                <w:rPr>
                  <w:rFonts w:cstheme="minorHAnsi"/>
                  <w:b/>
                  <w:bCs/>
                  <w:color w:val="000000" w:themeColor="text1"/>
                </w:rPr>
                <w:t>Civil Rights</w:t>
              </w:r>
            </w:hyperlink>
          </w:p>
          <w:p w:rsidR="00793CB5" w:rsidRPr="00A5086E" w:rsidRDefault="00A82B37" w:rsidP="00A7527B">
            <w:pPr>
              <w:widowControl w:val="0"/>
              <w:autoSpaceDE w:val="0"/>
              <w:autoSpaceDN w:val="0"/>
              <w:adjustRightInd w:val="0"/>
              <w:ind w:left="30" w:right="30"/>
              <w:rPr>
                <w:rFonts w:cstheme="minorHAnsi"/>
                <w:color w:val="000000" w:themeColor="text1"/>
              </w:rPr>
            </w:pPr>
            <w:hyperlink r:id="rId87" w:history="1">
              <w:r w:rsidR="00793CB5" w:rsidRPr="00A5086E">
                <w:rPr>
                  <w:rFonts w:cstheme="minorHAnsi"/>
                  <w:color w:val="000000" w:themeColor="text1"/>
                </w:rPr>
                <w:t>Discrimination by reason of handicap, disability, or illness</w:t>
              </w:r>
            </w:hyperlink>
          </w:p>
          <w:p w:rsidR="00793CB5" w:rsidRPr="00A5086E" w:rsidRDefault="00793CB5" w:rsidP="00A7527B">
            <w:pPr>
              <w:widowControl w:val="0"/>
              <w:autoSpaceDE w:val="0"/>
              <w:autoSpaceDN w:val="0"/>
              <w:adjustRightInd w:val="0"/>
              <w:ind w:left="30" w:right="30"/>
              <w:rPr>
                <w:rFonts w:cstheme="minorHAnsi"/>
                <w:color w:val="000000" w:themeColor="text1"/>
              </w:rPr>
            </w:pPr>
          </w:p>
        </w:tc>
      </w:tr>
      <w:tr w:rsidR="00793CB5" w:rsidRPr="00A5086E" w:rsidTr="00A7527B">
        <w:tc>
          <w:tcPr>
            <w:tcW w:w="60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rPr>
                <w:rFonts w:cstheme="minorHAnsi"/>
                <w:color w:val="000000" w:themeColor="text1"/>
              </w:rPr>
            </w:pPr>
          </w:p>
        </w:tc>
        <w:tc>
          <w:tcPr>
            <w:tcW w:w="9450" w:type="dxa"/>
            <w:tcBorders>
              <w:top w:val="nil"/>
              <w:left w:val="nil"/>
              <w:bottom w:val="nil"/>
              <w:right w:val="nil"/>
            </w:tcBorders>
            <w:tcMar>
              <w:left w:w="30" w:type="dxa"/>
              <w:right w:w="30" w:type="dxa"/>
            </w:tcMar>
          </w:tcPr>
          <w:p w:rsidR="00793CB5" w:rsidRPr="00A5086E" w:rsidRDefault="00793CB5" w:rsidP="00A7527B">
            <w:pPr>
              <w:widowControl w:val="0"/>
              <w:autoSpaceDE w:val="0"/>
              <w:autoSpaceDN w:val="0"/>
              <w:adjustRightInd w:val="0"/>
              <w:ind w:left="30" w:right="30"/>
              <w:jc w:val="both"/>
              <w:rPr>
                <w:rFonts w:cstheme="minorHAnsi"/>
                <w:color w:val="000000" w:themeColor="text1"/>
              </w:rPr>
            </w:pPr>
            <w:r w:rsidRPr="00A5086E">
              <w:rPr>
                <w:rFonts w:cstheme="minorHAnsi"/>
                <w:color w:val="000000" w:themeColor="text1"/>
              </w:rPr>
              <w:t xml:space="preserve">It is the burden of the individual with the disability seeking a housing accommodation under the Fair Housing Act (FHA) to demonstrate a nexus between his or her disability and the function the service animal provides or, in other words, a connection to the disability-related assistance provided by the assistance animal. Fair Housing Act, § 804(f)(3)(B), </w:t>
            </w:r>
            <w:hyperlink r:id="rId88" w:anchor="co_pp_6deb0000dc6a3" w:history="1">
              <w:r w:rsidRPr="00A5086E">
                <w:rPr>
                  <w:rFonts w:cstheme="minorHAnsi"/>
                  <w:color w:val="000000" w:themeColor="text1"/>
                </w:rPr>
                <w:t>42 U.S.C.A. § 3604(f)(3)(B)</w:t>
              </w:r>
            </w:hyperlink>
            <w:r w:rsidRPr="00A5086E">
              <w:rPr>
                <w:rFonts w:cstheme="minorHAnsi"/>
                <w:color w:val="000000" w:themeColor="text1"/>
              </w:rPr>
              <w:t>.</w:t>
            </w:r>
          </w:p>
          <w:bookmarkStart w:id="75" w:name="co_headnoteId_20393490070102016120106235"/>
          <w:bookmarkEnd w:id="75"/>
          <w:p w:rsidR="00793CB5" w:rsidRPr="00A5086E" w:rsidRDefault="00793CB5" w:rsidP="00A7527B">
            <w:pPr>
              <w:widowControl w:val="0"/>
              <w:autoSpaceDE w:val="0"/>
              <w:autoSpaceDN w:val="0"/>
              <w:adjustRightInd w:val="0"/>
              <w:spacing w:before="200"/>
              <w:ind w:left="30" w:right="30"/>
              <w:jc w:val="both"/>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"http://www.westlaw.com/Link/RelatedInformation/DocHeadnoteLink?docGuid=I6a4660b347a211e6b86bd602cb8781fa&amp;headnoteId=203934900701020161201062357&amp;originationContext=document&amp;vr=3.0&amp;rs=cblt1.0&amp;transitionType=CitingReferences&amp;contextData=(sc.Default)" </w:instrText>
            </w:r>
            <w:r w:rsidRPr="00A5086E">
              <w:rPr>
                <w:rFonts w:cstheme="minorHAnsi"/>
                <w:color w:val="000000" w:themeColor="text1"/>
              </w:rPr>
              <w:fldChar w:fldCharType="separate"/>
            </w:r>
            <w:r w:rsidRPr="00A5086E">
              <w:rPr>
                <w:rFonts w:cstheme="minorHAnsi"/>
                <w:color w:val="000000" w:themeColor="text1"/>
              </w:rPr>
              <w:t>Cases that cite this headnote</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ind w:left="30" w:right="30"/>
              <w:rPr>
                <w:rFonts w:cstheme="minorHAnsi"/>
                <w:color w:val="000000" w:themeColor="text1"/>
              </w:rPr>
            </w:pPr>
          </w:p>
        </w:tc>
      </w:tr>
    </w:tbl>
    <w:p w:rsidR="00793CB5" w:rsidRPr="00A5086E" w:rsidRDefault="00793CB5" w:rsidP="00793CB5">
      <w:pPr>
        <w:widowControl w:val="0"/>
        <w:autoSpaceDE w:val="0"/>
        <w:autoSpaceDN w:val="0"/>
        <w:adjustRightInd w:val="0"/>
        <w:spacing w:before="200"/>
        <w:jc w:val="both"/>
        <w:rPr>
          <w:rFonts w:cstheme="minorHAnsi"/>
          <w:b/>
          <w:bCs/>
          <w:color w:val="000000" w:themeColor="text1"/>
        </w:rPr>
      </w:pPr>
      <w:bookmarkStart w:id="76" w:name="co_headnotesEnd_1"/>
      <w:bookmarkStart w:id="77" w:name="co_attorneysAndLawFirms_1"/>
      <w:bookmarkEnd w:id="76"/>
      <w:bookmarkEnd w:id="77"/>
      <w:r w:rsidRPr="00A5086E">
        <w:rPr>
          <w:rFonts w:cstheme="minorHAnsi"/>
          <w:b/>
          <w:bCs/>
          <w:color w:val="000000" w:themeColor="text1"/>
        </w:rPr>
        <w:t>Attorneys and Law Firms</w:t>
      </w:r>
    </w:p>
    <w:p w:rsidR="00793CB5" w:rsidRPr="00A5086E" w:rsidRDefault="00793CB5" w:rsidP="00793CB5">
      <w:pPr>
        <w:widowControl w:val="0"/>
        <w:autoSpaceDE w:val="0"/>
        <w:autoSpaceDN w:val="0"/>
        <w:adjustRightInd w:val="0"/>
        <w:jc w:val="both"/>
        <w:rPr>
          <w:rFonts w:cstheme="minorHAnsi"/>
          <w:color w:val="000000" w:themeColor="text1"/>
        </w:rPr>
      </w:pPr>
      <w:bookmarkStart w:id="78" w:name="co_pp_sp_7691_478_1"/>
      <w:bookmarkEnd w:id="78"/>
      <w:r w:rsidRPr="00A5086E">
        <w:rPr>
          <w:rFonts w:cstheme="minorHAnsi"/>
          <w:b/>
          <w:bCs/>
          <w:color w:val="000000" w:themeColor="text1"/>
        </w:rPr>
        <w:t>*478</w:t>
      </w:r>
      <w:r w:rsidRPr="00A5086E">
        <w:rPr>
          <w:rFonts w:cstheme="minorHAnsi"/>
          <w:color w:val="000000" w:themeColor="text1"/>
        </w:rPr>
        <w:t xml:space="preserve"> </w:t>
      </w:r>
      <w:hyperlink r:id="rId89" w:history="1">
        <w:r w:rsidRPr="00A5086E">
          <w:rPr>
            <w:rFonts w:cstheme="minorHAnsi"/>
            <w:color w:val="000000" w:themeColor="text1"/>
          </w:rPr>
          <w:t>Sean R. Riley</w:t>
        </w:r>
      </w:hyperlink>
      <w:r w:rsidRPr="00A5086E">
        <w:rPr>
          <w:rFonts w:cstheme="minorHAnsi"/>
          <w:color w:val="000000" w:themeColor="text1"/>
        </w:rPr>
        <w:t>, Philadelphia, for appellant.</w:t>
      </w:r>
    </w:p>
    <w:p w:rsidR="00793CB5" w:rsidRPr="00A5086E" w:rsidRDefault="00A82B37" w:rsidP="00793CB5">
      <w:pPr>
        <w:widowControl w:val="0"/>
        <w:autoSpaceDE w:val="0"/>
        <w:autoSpaceDN w:val="0"/>
        <w:adjustRightInd w:val="0"/>
        <w:spacing w:before="200"/>
        <w:jc w:val="both"/>
        <w:rPr>
          <w:rFonts w:cstheme="minorHAnsi"/>
          <w:color w:val="000000" w:themeColor="text1"/>
        </w:rPr>
      </w:pPr>
      <w:hyperlink r:id="rId90" w:history="1">
        <w:r w:rsidR="00793CB5" w:rsidRPr="00A5086E">
          <w:rPr>
            <w:rFonts w:cstheme="minorHAnsi"/>
            <w:color w:val="000000" w:themeColor="text1"/>
          </w:rPr>
          <w:t>Alan A. Turner</w:t>
        </w:r>
      </w:hyperlink>
      <w:r w:rsidR="00793CB5" w:rsidRPr="00A5086E">
        <w:rPr>
          <w:rFonts w:cstheme="minorHAnsi"/>
          <w:color w:val="000000" w:themeColor="text1"/>
        </w:rPr>
        <w:t>, Philadelphia, for appellants Philadelphia Commission on Human Relations and Jan Rubin.</w:t>
      </w:r>
    </w:p>
    <w:p w:rsidR="00793CB5" w:rsidRPr="00A5086E" w:rsidRDefault="00A82B37" w:rsidP="00793CB5">
      <w:pPr>
        <w:widowControl w:val="0"/>
        <w:autoSpaceDE w:val="0"/>
        <w:autoSpaceDN w:val="0"/>
        <w:adjustRightInd w:val="0"/>
        <w:spacing w:before="200"/>
        <w:jc w:val="both"/>
        <w:rPr>
          <w:rFonts w:cstheme="minorHAnsi"/>
          <w:color w:val="000000" w:themeColor="text1"/>
        </w:rPr>
      </w:pPr>
      <w:hyperlink r:id="rId91" w:history="1">
        <w:r w:rsidR="00793CB5" w:rsidRPr="00A5086E">
          <w:rPr>
            <w:rFonts w:cstheme="minorHAnsi"/>
            <w:color w:val="000000" w:themeColor="text1"/>
          </w:rPr>
          <w:t>David C. Harrison</w:t>
        </w:r>
      </w:hyperlink>
      <w:r w:rsidR="00793CB5" w:rsidRPr="00A5086E">
        <w:rPr>
          <w:rFonts w:cstheme="minorHAnsi"/>
          <w:color w:val="000000" w:themeColor="text1"/>
        </w:rPr>
        <w:t>, Philadelphia, for amici curiae Jean Fiorino, Joy Rosenbloom, Jerome Ruderman and Elenore Segal.</w:t>
      </w:r>
    </w:p>
    <w:p w:rsidR="00793CB5" w:rsidRPr="00A5086E" w:rsidRDefault="00793CB5" w:rsidP="00793CB5">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 xml:space="preserve">BEFORE: </w:t>
      </w:r>
      <w:hyperlink r:id="rId92" w:history="1">
        <w:r w:rsidRPr="00A5086E">
          <w:rPr>
            <w:rFonts w:cstheme="minorHAnsi"/>
            <w:color w:val="000000" w:themeColor="text1"/>
          </w:rPr>
          <w:t>RENÉE COHN JUBELIRER</w:t>
        </w:r>
      </w:hyperlink>
      <w:r w:rsidRPr="00A5086E">
        <w:rPr>
          <w:rFonts w:cstheme="minorHAnsi"/>
          <w:color w:val="000000" w:themeColor="text1"/>
        </w:rPr>
        <w:t xml:space="preserve">, Judge, and </w:t>
      </w:r>
      <w:hyperlink r:id="rId93" w:history="1">
        <w:r w:rsidRPr="00A5086E">
          <w:rPr>
            <w:rFonts w:cstheme="minorHAnsi"/>
            <w:color w:val="000000" w:themeColor="text1"/>
          </w:rPr>
          <w:t xml:space="preserve">PATRICIA A. </w:t>
        </w:r>
        <w:proofErr w:type="spellStart"/>
        <w:r w:rsidRPr="00A5086E">
          <w:rPr>
            <w:rFonts w:cstheme="minorHAnsi"/>
            <w:color w:val="000000" w:themeColor="text1"/>
          </w:rPr>
          <w:t>McCULLOUGH</w:t>
        </w:r>
        <w:proofErr w:type="spellEnd"/>
      </w:hyperlink>
      <w:r w:rsidRPr="00A5086E">
        <w:rPr>
          <w:rFonts w:cstheme="minorHAnsi"/>
          <w:color w:val="000000" w:themeColor="text1"/>
        </w:rPr>
        <w:t xml:space="preserve">, Judge, and </w:t>
      </w:r>
      <w:hyperlink r:id="rId94" w:history="1">
        <w:r w:rsidRPr="00A5086E">
          <w:rPr>
            <w:rFonts w:cstheme="minorHAnsi"/>
            <w:color w:val="000000" w:themeColor="text1"/>
          </w:rPr>
          <w:t>DAN PELLEGRINI</w:t>
        </w:r>
      </w:hyperlink>
      <w:r w:rsidRPr="00A5086E">
        <w:rPr>
          <w:rFonts w:cstheme="minorHAnsi"/>
          <w:color w:val="000000" w:themeColor="text1"/>
        </w:rPr>
        <w:t>, Senior Judge.</w:t>
      </w:r>
    </w:p>
    <w:p w:rsidR="00793CB5" w:rsidRPr="00C37C44" w:rsidRDefault="00793CB5" w:rsidP="00C37C44">
      <w:pPr>
        <w:widowControl w:val="0"/>
        <w:autoSpaceDE w:val="0"/>
        <w:autoSpaceDN w:val="0"/>
        <w:adjustRightInd w:val="0"/>
        <w:spacing w:before="200"/>
        <w:jc w:val="both"/>
        <w:rPr>
          <w:rFonts w:cstheme="minorHAnsi"/>
          <w:b/>
          <w:bCs/>
          <w:color w:val="000000" w:themeColor="text1"/>
        </w:rPr>
      </w:pPr>
      <w:bookmarkStart w:id="79" w:name="co_opinion_1"/>
      <w:bookmarkEnd w:id="79"/>
      <w:r w:rsidRPr="00A5086E">
        <w:rPr>
          <w:rFonts w:cstheme="minorHAnsi"/>
          <w:b/>
          <w:bCs/>
          <w:color w:val="000000" w:themeColor="text1"/>
        </w:rPr>
        <w:t>Opinion</w:t>
      </w:r>
      <w:bookmarkStart w:id="80" w:name="co_anchor_I8c153421bbe611e698dc8b09b4f04"/>
      <w:bookmarkEnd w:id="80"/>
    </w:p>
    <w:p w:rsidR="00793CB5" w:rsidRPr="00A5086E" w:rsidRDefault="00793CB5" w:rsidP="00793CB5">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 xml:space="preserve">OPINION BY Judge </w:t>
      </w:r>
      <w:hyperlink r:id="rId95" w:history="1">
        <w:r w:rsidRPr="00A5086E">
          <w:rPr>
            <w:rFonts w:cstheme="minorHAnsi"/>
            <w:color w:val="000000" w:themeColor="text1"/>
          </w:rPr>
          <w:t>RENÉE COHN JUBELIRER</w:t>
        </w:r>
      </w:hyperlink>
      <w:r w:rsidRPr="00A5086E">
        <w:rPr>
          <w:rFonts w:cstheme="minorHAnsi"/>
          <w:color w:val="000000" w:themeColor="text1"/>
        </w:rPr>
        <w:t>.</w:t>
      </w:r>
    </w:p>
    <w:p w:rsidR="00793CB5" w:rsidRPr="00A5086E" w:rsidRDefault="00793CB5" w:rsidP="00793CB5">
      <w:pPr>
        <w:widowControl w:val="0"/>
        <w:autoSpaceDE w:val="0"/>
        <w:autoSpaceDN w:val="0"/>
        <w:adjustRightInd w:val="0"/>
        <w:jc w:val="both"/>
        <w:rPr>
          <w:rFonts w:cstheme="minorHAnsi"/>
          <w:color w:val="000000" w:themeColor="text1"/>
        </w:rPr>
      </w:pPr>
      <w:bookmarkStart w:id="81" w:name="co_anchor_I8c153423bbe611e698dc8b09b4f04"/>
      <w:bookmarkEnd w:id="81"/>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Kennedy House, Inc. (Kennedy House) appeals from a June 12, 2015 Order of the Court of Common Pleas of Philadelphia County (common pleas) denying its statutory appeal from a decision of the Philadelphia Commission on Human Relations (Commission). The Commission concluded that Kennedy House violated Section 9–1108 of the Philadelphia Fair Practice Ordinance (Ordinance) when it denied Jan Rubin’s request for a housing accommodation in the form of a waiver of its no-dog policy. On appeal to this Court, Kennedy House argues that common pleas erred by finding a sufficient nexus between Ms. Rubin’s disability and the support provided by her dog, and that the Commission’s findings were not based on substantial evidence. For the reasons that follow, we reverse.</w:t>
      </w:r>
      <w:bookmarkStart w:id="82" w:name="co_anchor_I8c153424bbe611e698dc8b09b4f04"/>
      <w:bookmarkEnd w:id="82"/>
    </w:p>
    <w:p w:rsidR="00793CB5" w:rsidRPr="00A5086E" w:rsidRDefault="00793CB5" w:rsidP="00793CB5">
      <w:pPr>
        <w:widowControl w:val="0"/>
        <w:autoSpaceDE w:val="0"/>
        <w:autoSpaceDN w:val="0"/>
        <w:adjustRightInd w:val="0"/>
        <w:spacing w:before="400"/>
        <w:rPr>
          <w:rFonts w:cstheme="minorHAnsi"/>
          <w:b/>
          <w:bCs/>
          <w:color w:val="000000" w:themeColor="text1"/>
        </w:rPr>
      </w:pPr>
      <w:r w:rsidRPr="00A5086E">
        <w:rPr>
          <w:rFonts w:cstheme="minorHAnsi"/>
          <w:b/>
          <w:bCs/>
          <w:color w:val="000000" w:themeColor="text1"/>
        </w:rPr>
        <w:lastRenderedPageBreak/>
        <w:t>I. BACKGROUND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Ms. Rubin is 61 years of age and suffers from: “(1) </w:t>
      </w:r>
      <w:hyperlink r:id="rId96" w:history="1">
        <w:r w:rsidRPr="00A5086E">
          <w:rPr>
            <w:rFonts w:cstheme="minorHAnsi"/>
            <w:color w:val="000000" w:themeColor="text1"/>
          </w:rPr>
          <w:t>degenerative disc disease</w:t>
        </w:r>
      </w:hyperlink>
      <w:r w:rsidRPr="00A5086E">
        <w:rPr>
          <w:rFonts w:cstheme="minorHAnsi"/>
          <w:color w:val="000000" w:themeColor="text1"/>
        </w:rPr>
        <w:t xml:space="preserve"> at </w:t>
      </w:r>
      <w:bookmarkStart w:id="83" w:name="co_pp_sp_7691_479_1"/>
      <w:bookmarkEnd w:id="83"/>
      <w:r w:rsidRPr="00A5086E">
        <w:rPr>
          <w:rFonts w:cstheme="minorHAnsi"/>
          <w:b/>
          <w:bCs/>
          <w:color w:val="000000" w:themeColor="text1"/>
        </w:rPr>
        <w:t>*479</w:t>
      </w:r>
      <w:r w:rsidRPr="00A5086E">
        <w:rPr>
          <w:rFonts w:cstheme="minorHAnsi"/>
          <w:color w:val="000000" w:themeColor="text1"/>
        </w:rPr>
        <w:t xml:space="preserve"> multiple levels of her spine; (2) </w:t>
      </w:r>
      <w:hyperlink r:id="rId97" w:history="1">
        <w:r w:rsidRPr="00A5086E">
          <w:rPr>
            <w:rFonts w:cstheme="minorHAnsi"/>
            <w:color w:val="000000" w:themeColor="text1"/>
          </w:rPr>
          <w:t>spinal stenosis</w:t>
        </w:r>
      </w:hyperlink>
      <w:r w:rsidRPr="00A5086E">
        <w:rPr>
          <w:rFonts w:cstheme="minorHAnsi"/>
          <w:color w:val="000000" w:themeColor="text1"/>
        </w:rPr>
        <w:t xml:space="preserve"> at multiple levels of her spine; (3) </w:t>
      </w:r>
      <w:hyperlink r:id="rId98" w:history="1">
        <w:r w:rsidRPr="00A5086E">
          <w:rPr>
            <w:rFonts w:cstheme="minorHAnsi"/>
            <w:color w:val="000000" w:themeColor="text1"/>
          </w:rPr>
          <w:t>fibromyalgia</w:t>
        </w:r>
      </w:hyperlink>
      <w:r w:rsidRPr="00A5086E">
        <w:rPr>
          <w:rFonts w:cstheme="minorHAnsi"/>
          <w:color w:val="000000" w:themeColor="text1"/>
        </w:rPr>
        <w:t xml:space="preserve">; (4) chronic pain; and (5) central nervous system </w:t>
      </w:r>
      <w:hyperlink r:id="rId99" w:history="1">
        <w:r w:rsidRPr="00A5086E">
          <w:rPr>
            <w:rFonts w:cstheme="minorHAnsi"/>
            <w:color w:val="000000" w:themeColor="text1"/>
          </w:rPr>
          <w:t>sleep apnea</w:t>
        </w:r>
      </w:hyperlink>
      <w:r w:rsidRPr="00A5086E">
        <w:rPr>
          <w:rFonts w:cstheme="minorHAnsi"/>
          <w:color w:val="000000" w:themeColor="text1"/>
        </w:rPr>
        <w:t>.” (Commission Decision, Findings of Fact (FOF) ¶ 13.) Ms. Rubin’s conditions affect her mobility and “limit her ability to stand to about [10] to [15] minutes, and her ability to sit to a maximum of [20] to [30] minutes before the pain becomes significant.” (FOF ¶ 14.) Ms. Rubin finds it difficult to cook for herself or climb stairs. (</w:t>
      </w:r>
      <w:r w:rsidRPr="00A5086E">
        <w:rPr>
          <w:rFonts w:cstheme="minorHAnsi"/>
          <w:i/>
          <w:iCs/>
          <w:color w:val="000000" w:themeColor="text1"/>
        </w:rPr>
        <w:t>Id.</w:t>
      </w:r>
      <w:r w:rsidRPr="00A5086E">
        <w:rPr>
          <w:rFonts w:cstheme="minorHAnsi"/>
          <w:color w:val="000000" w:themeColor="text1"/>
        </w:rPr>
        <w:t xml:space="preserve">) Her conditions have “significantly worsened over the past two years,” and she “can no longer work.” (FOF ¶¶ 15–16.) Her conditions and the pain from which she suffers “often make[s] it difficult for her to order her day, to get out of bed, to remember to take her medications, and [to] do other simple tasks such as to take a shower, comb her hair[,] and get dressed.” (FOF ¶ 21.) To assist her in everyday life, Ms. Rubin employs two part-time caregivers and is assisted by her 10– or 11–year–old </w:t>
      </w:r>
      <w:proofErr w:type="spellStart"/>
      <w:r w:rsidRPr="00A5086E">
        <w:rPr>
          <w:rFonts w:cstheme="minorHAnsi"/>
          <w:color w:val="000000" w:themeColor="text1"/>
        </w:rPr>
        <w:t>Plott</w:t>
      </w:r>
      <w:proofErr w:type="spellEnd"/>
      <w:r w:rsidRPr="00A5086E">
        <w:rPr>
          <w:rFonts w:cstheme="minorHAnsi"/>
          <w:color w:val="000000" w:themeColor="text1"/>
        </w:rPr>
        <w:t xml:space="preserve"> Hound named Mira. (FOF ¶¶ 12, 18, 22.) “Mira does not have special training and is a stay-at-home animal that does not accompany Ms. Rubin to places of public accommodation.” (FOF ¶ 24.)</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Kennedy House “is a residential cooperative building” consisting of approximately 559 apartments in Philadelphia. (FOF ¶¶ 28–29.) Kennedy House has a no-dog policy, but allows other small pets such as cats, caged birds, and fish. (FOF ¶ 30.) Ms. Rubin submitted an application to join the cooperative at Kennedy House and to purchase a unit on February 1, 2011. (FOF ¶ 31.) Ms. Rubin indicated on her application that she requires a “service dog.” (FOF ¶ 32; Application, R.R. at 162.) Upon receipt of Ms. Rubin’s application, a representative of Kennedy House asked Ms. Rubin “to have a licensed professional write a letter attesting to [her] need for an accommodation.” (FOF ¶ 33.) Ms. Rubin submitted a March 10, 2011 letter written by Craig Wynne, M.D., her primary care physician, that stated: “[Ms.] Rubin has multiple medical issues that affect her mobility. She benefits from the support of a service dog. She currently has a dog that serves this role for her. Please consider allowing [Ms. Rubin] to keep the dog. Loss of this animal would impair her ability to function.” (R.R. at 154.) Approximately one month later, Kennedy House sought additional information on the requested accommodation and asked Ms. Rubin to complete and submit a certification form provided to her by Kennedy House. (FOF ¶ 38.) The two-page form sought Dr. Wynne’s certification that Ms. Rubin qualifies as an individual with a disability as defined by “federal civil rights laws,” and that the requested accommodation “is consistent with her needs associated with her disability.” (Certification Form, Rubin Ex. 3.) The form stated in bold letters: “IMPORTANT: Do NOT reveal the specific NATURE OR SEVERITY of the individual’s disability.” (</w:t>
      </w:r>
      <w:r w:rsidRPr="00A5086E">
        <w:rPr>
          <w:rFonts w:cstheme="minorHAnsi"/>
          <w:i/>
          <w:iCs/>
          <w:color w:val="000000" w:themeColor="text1"/>
        </w:rPr>
        <w:t>Id.</w:t>
      </w:r>
      <w:r w:rsidRPr="00A5086E">
        <w:rPr>
          <w:rFonts w:cstheme="minorHAnsi"/>
          <w:color w:val="000000" w:themeColor="text1"/>
        </w:rPr>
        <w:t>) Dr. Wynne signed the forms and certified that Ms. Rubin is disabled and that the requested accommodation “is consistent with her needs associated with her disability.” (</w:t>
      </w:r>
      <w:r w:rsidRPr="00A5086E">
        <w:rPr>
          <w:rFonts w:cstheme="minorHAnsi"/>
          <w:i/>
          <w:iCs/>
          <w:color w:val="000000" w:themeColor="text1"/>
        </w:rPr>
        <w:t>Id.</w:t>
      </w:r>
      <w:r w:rsidRPr="00A5086E">
        <w:rPr>
          <w:rFonts w:cstheme="minorHAnsi"/>
          <w:color w:val="000000" w:themeColor="text1"/>
        </w:rPr>
        <w:t>)</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 unit became available in October 2012, and Ms. Rubin entered into an agreement to purchase said unit. (FOF ¶ 39.) Subsequently, Kennedy House asked Ms. Rubin to attend a Membership Committee, which is a mandatory part of the application process for all applicants to Kennedy House. (FOF ¶¶ 41–42.) At the meeting, which she attended without Mira, Ms. Rubin was asked whether Mira was specially trained and how Mira assisted her with her disability. (FOF ¶ 41.) Ms. Rubin explained that Mira is not specially trained, but stays at home and assists Ms. Rubin “in ordering her day, and in remembering </w:t>
      </w:r>
      <w:bookmarkStart w:id="84" w:name="co_pp_sp_7691_480_1"/>
      <w:bookmarkEnd w:id="84"/>
      <w:r w:rsidRPr="00A5086E">
        <w:rPr>
          <w:rFonts w:cstheme="minorHAnsi"/>
          <w:b/>
          <w:bCs/>
          <w:color w:val="000000" w:themeColor="text1"/>
        </w:rPr>
        <w:t>*480</w:t>
      </w:r>
      <w:r w:rsidRPr="00A5086E">
        <w:rPr>
          <w:rFonts w:cstheme="minorHAnsi"/>
          <w:color w:val="000000" w:themeColor="text1"/>
        </w:rPr>
        <w:t xml:space="preserve"> when to take medications, eat meals and get up and out of bed.” (FOF ¶ 43.)</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“Shortly after the membership meeting, the Board of Directors of Kennedy House voted to deny Ms. Rubin’s application.” (FOF ¶ 45.) In a letter dated January 22, 2013, explaining its decision, the Board of Directors stated:</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lastRenderedPageBreak/>
        <w:t>You requested a reasonable accommodation exception to the [Kennedy House] “no [</w:t>
      </w:r>
      <w:proofErr w:type="gramStart"/>
      <w:r w:rsidRPr="00A5086E">
        <w:rPr>
          <w:rFonts w:cstheme="minorHAnsi"/>
          <w:color w:val="000000" w:themeColor="text1"/>
        </w:rPr>
        <w:t>-]dog</w:t>
      </w:r>
      <w:proofErr w:type="gramEnd"/>
      <w:r w:rsidRPr="00A5086E">
        <w:rPr>
          <w:rFonts w:cstheme="minorHAnsi"/>
          <w:color w:val="000000" w:themeColor="text1"/>
        </w:rPr>
        <w:t xml:space="preserve"> policy” to allow you to have your dog at the Kennedy House.</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The Board has reviewed your application and request under applicable [Kennedy House] rules and federal law, and has determined that it does not comply with the applicable requirements. Therefore, the Board has voted to deny your application.</w:t>
      </w:r>
    </w:p>
    <w:p w:rsidR="00793CB5" w:rsidRPr="00A5086E" w:rsidRDefault="00793CB5" w:rsidP="00793CB5">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(Denial Letter, Rubin Ex. 5.) The unit Ms. Rubin sought to purchase was subsequently sold to another buyer. (FOF ¶ 50.)</w:t>
      </w:r>
      <w:bookmarkStart w:id="85" w:name="co_anchor_I8c153425bbe611e698dc8b09b4f04"/>
      <w:bookmarkEnd w:id="85"/>
    </w:p>
    <w:p w:rsidR="00793CB5" w:rsidRPr="00A5086E" w:rsidRDefault="00793CB5" w:rsidP="00C37C44">
      <w:pPr>
        <w:widowControl w:val="0"/>
        <w:autoSpaceDE w:val="0"/>
        <w:autoSpaceDN w:val="0"/>
        <w:adjustRightInd w:val="0"/>
        <w:spacing w:before="360"/>
        <w:rPr>
          <w:rFonts w:cstheme="minorHAnsi"/>
          <w:b/>
          <w:bCs/>
          <w:color w:val="000000" w:themeColor="text1"/>
        </w:rPr>
      </w:pPr>
      <w:r w:rsidRPr="00A5086E">
        <w:rPr>
          <w:rFonts w:cstheme="minorHAnsi"/>
          <w:b/>
          <w:bCs/>
          <w:color w:val="000000" w:themeColor="text1"/>
        </w:rPr>
        <w:t>II. ADJUDICATION IN THE COMMISSION</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Ms. Rubin filed a Complaint with the Commission asserting housing discrimination on the basis of Kennedy House’s failure to reasonably accommodate her disability. (</w:t>
      </w:r>
      <w:proofErr w:type="spellStart"/>
      <w:proofErr w:type="gramStart"/>
      <w:r w:rsidRPr="00A5086E">
        <w:rPr>
          <w:rFonts w:cstheme="minorHAnsi"/>
          <w:color w:val="000000" w:themeColor="text1"/>
        </w:rPr>
        <w:t>Compl</w:t>
      </w:r>
      <w:proofErr w:type="spellEnd"/>
      <w:r w:rsidRPr="00A5086E">
        <w:rPr>
          <w:rFonts w:cstheme="minorHAnsi"/>
          <w:color w:val="000000" w:themeColor="text1"/>
        </w:rPr>
        <w:t>.¶</w:t>
      </w:r>
      <w:proofErr w:type="gramEnd"/>
      <w:r w:rsidRPr="00A5086E">
        <w:rPr>
          <w:rFonts w:cstheme="minorHAnsi"/>
          <w:color w:val="000000" w:themeColor="text1"/>
        </w:rPr>
        <w:t xml:space="preserve">¶ 8–39.) Therein, Ms. Rubin alleged that Mira “is a </w:t>
      </w:r>
      <w:r w:rsidRPr="00A5086E">
        <w:rPr>
          <w:rFonts w:cstheme="minorHAnsi"/>
          <w:b/>
          <w:bCs/>
          <w:color w:val="000000" w:themeColor="text1"/>
        </w:rPr>
        <w:t>companion dog.</w:t>
      </w:r>
      <w:r w:rsidRPr="00A5086E">
        <w:rPr>
          <w:rFonts w:cstheme="minorHAnsi"/>
          <w:color w:val="000000" w:themeColor="text1"/>
        </w:rPr>
        <w:t>” (</w:t>
      </w:r>
      <w:proofErr w:type="spellStart"/>
      <w:r w:rsidRPr="00A5086E">
        <w:rPr>
          <w:rFonts w:cstheme="minorHAnsi"/>
          <w:color w:val="000000" w:themeColor="text1"/>
        </w:rPr>
        <w:t>Compl</w:t>
      </w:r>
      <w:proofErr w:type="spellEnd"/>
      <w:r w:rsidRPr="00A5086E">
        <w:rPr>
          <w:rFonts w:cstheme="minorHAnsi"/>
          <w:color w:val="000000" w:themeColor="text1"/>
        </w:rPr>
        <w:t>. ¶ 13 (emphasis added).) “When I am not able to leave the house for long periods of time, my companion dog gives me emotional support.... My companion dog reminds me to wake up, eat meals, and go to sleep when required.” (</w:t>
      </w:r>
      <w:proofErr w:type="spellStart"/>
      <w:proofErr w:type="gramStart"/>
      <w:r w:rsidRPr="00A5086E">
        <w:rPr>
          <w:rFonts w:cstheme="minorHAnsi"/>
          <w:color w:val="000000" w:themeColor="text1"/>
        </w:rPr>
        <w:t>Compl</w:t>
      </w:r>
      <w:proofErr w:type="spellEnd"/>
      <w:r w:rsidRPr="00A5086E">
        <w:rPr>
          <w:rFonts w:cstheme="minorHAnsi"/>
          <w:color w:val="000000" w:themeColor="text1"/>
        </w:rPr>
        <w:t>.¶</w:t>
      </w:r>
      <w:proofErr w:type="gramEnd"/>
      <w:r w:rsidRPr="00A5086E">
        <w:rPr>
          <w:rFonts w:cstheme="minorHAnsi"/>
          <w:color w:val="000000" w:themeColor="text1"/>
        </w:rPr>
        <w:t xml:space="preserve"> 13.) Ms. Rubin further alleges that her request for accommodation was reasonable because “my companion dog would always be on a leash[,] ... would avoid elevator cars with other residents [,] ... would exit through the rear entrance instead of the lobby[, and p]</w:t>
      </w:r>
      <w:proofErr w:type="spellStart"/>
      <w:r w:rsidRPr="00A5086E">
        <w:rPr>
          <w:rFonts w:cstheme="minorHAnsi"/>
          <w:color w:val="000000" w:themeColor="text1"/>
        </w:rPr>
        <w:t>ublic</w:t>
      </w:r>
      <w:proofErr w:type="spellEnd"/>
      <w:r w:rsidRPr="00A5086E">
        <w:rPr>
          <w:rFonts w:cstheme="minorHAnsi"/>
          <w:color w:val="000000" w:themeColor="text1"/>
        </w:rPr>
        <w:t xml:space="preserve"> and private areas would be kept clean and odor free.” (</w:t>
      </w:r>
      <w:proofErr w:type="spellStart"/>
      <w:proofErr w:type="gramStart"/>
      <w:r w:rsidRPr="00A5086E">
        <w:rPr>
          <w:rFonts w:cstheme="minorHAnsi"/>
          <w:color w:val="000000" w:themeColor="text1"/>
        </w:rPr>
        <w:t>Compl</w:t>
      </w:r>
      <w:proofErr w:type="spellEnd"/>
      <w:r w:rsidRPr="00A5086E">
        <w:rPr>
          <w:rFonts w:cstheme="minorHAnsi"/>
          <w:color w:val="000000" w:themeColor="text1"/>
        </w:rPr>
        <w:t>.¶</w:t>
      </w:r>
      <w:proofErr w:type="gramEnd"/>
      <w:r w:rsidRPr="00A5086E">
        <w:rPr>
          <w:rFonts w:cstheme="minorHAnsi"/>
          <w:color w:val="000000" w:themeColor="text1"/>
        </w:rPr>
        <w:t xml:space="preserve"> 35.) Ms. Rubin’s Complaint sought compensatory and punitive damages, costs, and an order that Kennedy House provide training on discrimination laws. (</w:t>
      </w:r>
      <w:proofErr w:type="spellStart"/>
      <w:proofErr w:type="gramStart"/>
      <w:r w:rsidRPr="00A5086E">
        <w:rPr>
          <w:rFonts w:cstheme="minorHAnsi"/>
          <w:color w:val="000000" w:themeColor="text1"/>
        </w:rPr>
        <w:t>Compl</w:t>
      </w:r>
      <w:proofErr w:type="spellEnd"/>
      <w:r w:rsidRPr="00A5086E">
        <w:rPr>
          <w:rFonts w:cstheme="minorHAnsi"/>
          <w:color w:val="000000" w:themeColor="text1"/>
        </w:rPr>
        <w:t>.¶</w:t>
      </w:r>
      <w:proofErr w:type="gramEnd"/>
      <w:r w:rsidRPr="00A5086E">
        <w:rPr>
          <w:rFonts w:cstheme="minorHAnsi"/>
          <w:color w:val="000000" w:themeColor="text1"/>
        </w:rPr>
        <w:t>¶ 36–39.)</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Upon review of the Complaint and Kennedy House’s Answer thereto, the Commission found that probable cause existed as to a finding of housing discrimination and a hearing was held on March 21, 2014, where Ms. Rubin; Stephen C. Meister, DVM, Mira’s veterinarian; and James Giblin, General Manager of Kennedy House; testified. At the hearing, Ms. Rubin was granted leave to amend the Complaint to include a request for an order requiring Kennedy House to grant Ms. Rubin “the right to purchase a unit equivalent to the one which she” was denied and to accept Mira “as a reasonable accommodation necessitated by her disability.” (R.R. at 66–67.)</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Ms. Rubin testified to the facts discussed above and as follows.</w:t>
      </w:r>
      <w:bookmarkStart w:id="86" w:name="co_footnoteReference_B00112039349007_ID0"/>
      <w:bookmarkEnd w:id="86"/>
      <w:r w:rsidRPr="00A5086E">
        <w:rPr>
          <w:rFonts w:cstheme="minorHAnsi"/>
          <w:color w:val="000000" w:themeColor="text1"/>
        </w:rPr>
        <w:fldChar w:fldCharType="begin"/>
      </w:r>
      <w:r w:rsidRPr="00A5086E">
        <w:rPr>
          <w:rFonts w:cstheme="minorHAnsi"/>
          <w:color w:val="000000" w:themeColor="text1"/>
        </w:rPr>
        <w:instrText xml:space="preserve">HYPERLINK "#co_footnote_B00112039349007_1" </w:instrText>
      </w:r>
      <w:r w:rsidRPr="00A5086E">
        <w:rPr>
          <w:rFonts w:cstheme="minorHAnsi"/>
          <w:color w:val="000000" w:themeColor="text1"/>
        </w:rPr>
        <w:fldChar w:fldCharType="separate"/>
      </w:r>
      <w:r w:rsidRPr="00A5086E">
        <w:rPr>
          <w:rFonts w:cstheme="minorHAnsi"/>
          <w:color w:val="000000" w:themeColor="text1"/>
          <w:vertAlign w:val="superscript"/>
        </w:rPr>
        <w:t>1</w:t>
      </w:r>
      <w:r w:rsidRPr="00A5086E">
        <w:rPr>
          <w:rFonts w:cstheme="minorHAnsi"/>
          <w:color w:val="000000" w:themeColor="text1"/>
        </w:rPr>
        <w:fldChar w:fldCharType="end"/>
      </w:r>
      <w:r w:rsidRPr="00A5086E">
        <w:rPr>
          <w:rFonts w:cstheme="minorHAnsi"/>
          <w:color w:val="000000" w:themeColor="text1"/>
        </w:rPr>
        <w:t xml:space="preserve"> Prior to her disability she worked 60 to 80 hours a week for almost 30 years. Upon the onset of her disability, Ms. Rubin found herself with nothing to do and content to stay in bed all the time. Mira helps her order her life, and reminds her to take medications, eat meals, and when to get up. Ms. Rubin does not walk Mira often. Mira is normally walked twice a day by other people. Yet, the times Ms. Rubin is forced to walk Mira is the only time she gets out of her house other than doctor appointments.</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At the Kennedy House mandatory Membership Committee meeting, when Ms. Rubin was asked whether Mira would be on a leash, whether she had her shots and </w:t>
      </w:r>
      <w:bookmarkStart w:id="87" w:name="co_pp_sp_7691_481_1"/>
      <w:bookmarkEnd w:id="87"/>
      <w:r w:rsidRPr="00A5086E">
        <w:rPr>
          <w:rFonts w:cstheme="minorHAnsi"/>
          <w:b/>
          <w:bCs/>
          <w:color w:val="000000" w:themeColor="text1"/>
        </w:rPr>
        <w:t>*481</w:t>
      </w:r>
      <w:r w:rsidRPr="00A5086E">
        <w:rPr>
          <w:rFonts w:cstheme="minorHAnsi"/>
          <w:color w:val="000000" w:themeColor="text1"/>
        </w:rPr>
        <w:t xml:space="preserve"> tags, she responded that Mira “had a city license and was always on a leash. And as an accommodation to the building, [Ms. Rubin would] only use the service elevator and ... only access the building through the rear, so that any dirt that [Mira] might drag in would be kept outside or in a service area.” (</w:t>
      </w:r>
      <w:r w:rsidRPr="00A5086E">
        <w:rPr>
          <w:rFonts w:cstheme="minorHAnsi"/>
          <w:i/>
          <w:iCs/>
          <w:color w:val="000000" w:themeColor="text1"/>
        </w:rPr>
        <w:t>Id.</w:t>
      </w:r>
      <w:r w:rsidRPr="00A5086E">
        <w:rPr>
          <w:rFonts w:cstheme="minorHAnsi"/>
          <w:color w:val="000000" w:themeColor="text1"/>
        </w:rPr>
        <w:t xml:space="preserve"> at 102.) Ms. Rubin also agreed to only use elevators with Mira when no other person was on the elevator.</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On cross-examination, Ms. Rubin testified that she obtained Mira from a rescue prior to her disability, though she did have some mobility restraints at the time and that Mira has no special training. When asked whether Mira performs any tasks that help with her mobility issues, Ms. Rubin responded: “[n]o, </w:t>
      </w:r>
      <w:r w:rsidRPr="00A5086E">
        <w:rPr>
          <w:rFonts w:cstheme="minorHAnsi"/>
          <w:color w:val="000000" w:themeColor="text1"/>
        </w:rPr>
        <w:lastRenderedPageBreak/>
        <w:t>that is not why she is here.” (</w:t>
      </w:r>
      <w:r w:rsidRPr="00A5086E">
        <w:rPr>
          <w:rFonts w:cstheme="minorHAnsi"/>
          <w:i/>
          <w:iCs/>
          <w:color w:val="000000" w:themeColor="text1"/>
        </w:rPr>
        <w:t>Id.</w:t>
      </w:r>
      <w:r w:rsidRPr="00A5086E">
        <w:rPr>
          <w:rFonts w:cstheme="minorHAnsi"/>
          <w:color w:val="000000" w:themeColor="text1"/>
        </w:rPr>
        <w:t xml:space="preserve"> at 112.) According to Ms. Rubin, “[Mira] has a timing thing that goes off in her and she reminds me what I am supposed to be doing.” (</w:t>
      </w:r>
      <w:r w:rsidRPr="00A5086E">
        <w:rPr>
          <w:rFonts w:cstheme="minorHAnsi"/>
          <w:i/>
          <w:iCs/>
          <w:color w:val="000000" w:themeColor="text1"/>
        </w:rPr>
        <w:t>Id.</w:t>
      </w:r>
      <w:r w:rsidRPr="00A5086E">
        <w:rPr>
          <w:rFonts w:cstheme="minorHAnsi"/>
          <w:color w:val="000000" w:themeColor="text1"/>
        </w:rPr>
        <w:t>) With regard to the nature of her disability, Ms. Rubin stated that “[t]he physical nature of what is wrong with me very often makes it difficult to [get out of bed and take medications] and [to] remember to do them because the pain is so excruciating.” (</w:t>
      </w:r>
      <w:r w:rsidRPr="00A5086E">
        <w:rPr>
          <w:rFonts w:cstheme="minorHAnsi"/>
          <w:i/>
          <w:iCs/>
          <w:color w:val="000000" w:themeColor="text1"/>
        </w:rPr>
        <w:t>Id.</w:t>
      </w:r>
      <w:r w:rsidRPr="00A5086E">
        <w:rPr>
          <w:rFonts w:cstheme="minorHAnsi"/>
          <w:color w:val="000000" w:themeColor="text1"/>
        </w:rPr>
        <w:t xml:space="preserve"> at 113.) Ms. Rubin further testified that she has not been diagnosed with a </w:t>
      </w:r>
      <w:hyperlink r:id="rId100" w:history="1">
        <w:r w:rsidRPr="00A5086E">
          <w:rPr>
            <w:rFonts w:cstheme="minorHAnsi"/>
            <w:color w:val="000000" w:themeColor="text1"/>
          </w:rPr>
          <w:t>mental disability</w:t>
        </w:r>
      </w:hyperlink>
      <w:r w:rsidRPr="00A5086E">
        <w:rPr>
          <w:rFonts w:cstheme="minorHAnsi"/>
          <w:color w:val="000000" w:themeColor="text1"/>
        </w:rPr>
        <w:t xml:space="preserve"> or psychological condition. Upon Kennedy House’s request, Ms. Rubin asked Dr. Wynne to write a letter to Kennedy House regarding her disability and the importance of Mira. Ms. Rubin could not recall whether she asked Dr. Wynne to refer to Mira as a service dog. She did not ask Dr. Wynne to testify at the hearing because she assumed that Dr. Wynne could not discuss her physical condition in an open forum.</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Dr. Meister testified that he is a licensed veterinarian and has been Mira’s veterinarian since 2007 or 2008 and currently sees Mira at Ms. Rubin’s house.</w:t>
      </w:r>
      <w:bookmarkStart w:id="88" w:name="co_footnoteReference_B00222039349007_ID0"/>
      <w:bookmarkEnd w:id="88"/>
      <w:r w:rsidRPr="00A5086E">
        <w:rPr>
          <w:rFonts w:cstheme="minorHAnsi"/>
          <w:color w:val="000000" w:themeColor="text1"/>
        </w:rPr>
        <w:fldChar w:fldCharType="begin"/>
      </w:r>
      <w:r w:rsidRPr="00A5086E">
        <w:rPr>
          <w:rFonts w:cstheme="minorHAnsi"/>
          <w:color w:val="000000" w:themeColor="text1"/>
        </w:rPr>
        <w:instrText xml:space="preserve">HYPERLINK "#co_footnote_B00222039349007_1" </w:instrText>
      </w:r>
      <w:r w:rsidRPr="00A5086E">
        <w:rPr>
          <w:rFonts w:cstheme="minorHAnsi"/>
          <w:color w:val="000000" w:themeColor="text1"/>
        </w:rPr>
        <w:fldChar w:fldCharType="separate"/>
      </w:r>
      <w:r w:rsidRPr="00A5086E">
        <w:rPr>
          <w:rFonts w:cstheme="minorHAnsi"/>
          <w:color w:val="000000" w:themeColor="text1"/>
          <w:vertAlign w:val="superscript"/>
        </w:rPr>
        <w:t>2</w:t>
      </w:r>
      <w:r w:rsidRPr="00A5086E">
        <w:rPr>
          <w:rFonts w:cstheme="minorHAnsi"/>
          <w:color w:val="000000" w:themeColor="text1"/>
        </w:rPr>
        <w:fldChar w:fldCharType="end"/>
      </w:r>
      <w:r w:rsidRPr="00A5086E">
        <w:rPr>
          <w:rFonts w:cstheme="minorHAnsi"/>
          <w:color w:val="000000" w:themeColor="text1"/>
        </w:rPr>
        <w:t xml:space="preserve"> Dr. Meister testified that, based on his personal observation, Ms. Rubin’s disability has significantly worsened between 2008 and 2013. Dr. Meister further testified that Mira and Ms. Rubin have a very close relationship where Mira tells Ms. Rubin “what to do in normal situations” and “lets her know when she needs to go out and when she needs to be consoled.” (</w:t>
      </w:r>
      <w:r w:rsidRPr="00A5086E">
        <w:rPr>
          <w:rFonts w:cstheme="minorHAnsi"/>
          <w:i/>
          <w:iCs/>
          <w:color w:val="000000" w:themeColor="text1"/>
        </w:rPr>
        <w:t>Id.</w:t>
      </w:r>
      <w:r w:rsidRPr="00A5086E">
        <w:rPr>
          <w:rFonts w:cstheme="minorHAnsi"/>
          <w:color w:val="000000" w:themeColor="text1"/>
        </w:rPr>
        <w:t xml:space="preserve"> at 72.) On cross-examination, Dr. Meister admitted that he cannot offer a medical opinion as to Ms. Rubin’s disability or the sort of treatment that would benefit Ms. Rubin, including whether a dog is necessary to manage her disability. He stated that he was simply providing his “observations of her increasingly worse disability, which I feel fully qualified to discuss.” (</w:t>
      </w:r>
      <w:r w:rsidRPr="00A5086E">
        <w:rPr>
          <w:rFonts w:cstheme="minorHAnsi"/>
          <w:i/>
          <w:iCs/>
          <w:color w:val="000000" w:themeColor="text1"/>
        </w:rPr>
        <w:t>Id.</w:t>
      </w:r>
      <w:r w:rsidRPr="00A5086E">
        <w:rPr>
          <w:rFonts w:cstheme="minorHAnsi"/>
          <w:color w:val="000000" w:themeColor="text1"/>
        </w:rPr>
        <w:t xml:space="preserve"> at 77.)</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Mr. Giblin testified on behalf of Kennedy House as follows.</w:t>
      </w:r>
      <w:bookmarkStart w:id="89" w:name="co_footnoteReference_B00332039349007_ID0"/>
      <w:bookmarkEnd w:id="89"/>
      <w:r w:rsidRPr="00A5086E">
        <w:rPr>
          <w:rFonts w:cstheme="minorHAnsi"/>
          <w:color w:val="000000" w:themeColor="text1"/>
        </w:rPr>
        <w:fldChar w:fldCharType="begin"/>
      </w:r>
      <w:r w:rsidRPr="00A5086E">
        <w:rPr>
          <w:rFonts w:cstheme="minorHAnsi"/>
          <w:color w:val="000000" w:themeColor="text1"/>
        </w:rPr>
        <w:instrText xml:space="preserve">HYPERLINK "#co_footnote_B00332039349007_1" </w:instrText>
      </w:r>
      <w:r w:rsidRPr="00A5086E">
        <w:rPr>
          <w:rFonts w:cstheme="minorHAnsi"/>
          <w:color w:val="000000" w:themeColor="text1"/>
        </w:rPr>
        <w:fldChar w:fldCharType="separate"/>
      </w:r>
      <w:r w:rsidRPr="00A5086E">
        <w:rPr>
          <w:rFonts w:cstheme="minorHAnsi"/>
          <w:color w:val="000000" w:themeColor="text1"/>
          <w:vertAlign w:val="superscript"/>
        </w:rPr>
        <w:t>3</w:t>
      </w:r>
      <w:r w:rsidRPr="00A5086E">
        <w:rPr>
          <w:rFonts w:cstheme="minorHAnsi"/>
          <w:color w:val="000000" w:themeColor="text1"/>
        </w:rPr>
        <w:fldChar w:fldCharType="end"/>
      </w:r>
      <w:r w:rsidRPr="00A5086E">
        <w:rPr>
          <w:rFonts w:cstheme="minorHAnsi"/>
          <w:color w:val="000000" w:themeColor="text1"/>
        </w:rPr>
        <w:t xml:space="preserve"> Every applicant that wishes to purchase a unit in Kennedy House must first meet with the Kennedy House Membership Committee, which then makes a recommendation to the Kennedy House Board of Directors. It is the Board of Directors that makes the final decision to accept or deny an application. Mr. Giblin first met Ms. Rubin at the Membership Committee meeting where Ms. Rubin told him that Mira was a companion dog that never leaves her home. The Membership Committee recommended that the Board deny the application “because of the inconsistencies” in “the reasonable accommodation requested.” (</w:t>
      </w:r>
      <w:r w:rsidRPr="00A5086E">
        <w:rPr>
          <w:rFonts w:cstheme="minorHAnsi"/>
          <w:i/>
          <w:iCs/>
          <w:color w:val="000000" w:themeColor="text1"/>
        </w:rPr>
        <w:t>Id.</w:t>
      </w:r>
      <w:r w:rsidRPr="00A5086E">
        <w:rPr>
          <w:rFonts w:cstheme="minorHAnsi"/>
          <w:color w:val="000000" w:themeColor="text1"/>
        </w:rPr>
        <w:t xml:space="preserve"> at 135.) According to Mr. Giblin: “We are a no-dog building. There are pets permitted, like cats, caged birds, or </w:t>
      </w:r>
      <w:bookmarkStart w:id="90" w:name="co_pp_sp_7691_482_1"/>
      <w:bookmarkEnd w:id="90"/>
      <w:r w:rsidRPr="00A5086E">
        <w:rPr>
          <w:rFonts w:cstheme="minorHAnsi"/>
          <w:b/>
          <w:bCs/>
          <w:color w:val="000000" w:themeColor="text1"/>
        </w:rPr>
        <w:t>*482</w:t>
      </w:r>
      <w:r w:rsidRPr="00A5086E">
        <w:rPr>
          <w:rFonts w:cstheme="minorHAnsi"/>
          <w:color w:val="000000" w:themeColor="text1"/>
        </w:rPr>
        <w:t xml:space="preserve"> fish and there is no other service animal or dog in the building and my recommendation was to deny the application. The Membership Committee did the same, and the Board moved to deny the application.” (</w:t>
      </w:r>
      <w:r w:rsidRPr="00A5086E">
        <w:rPr>
          <w:rFonts w:cstheme="minorHAnsi"/>
          <w:i/>
          <w:iCs/>
          <w:color w:val="000000" w:themeColor="text1"/>
        </w:rPr>
        <w:t>Id.</w:t>
      </w:r>
      <w:r w:rsidRPr="00A5086E">
        <w:rPr>
          <w:rFonts w:cstheme="minorHAnsi"/>
          <w:color w:val="000000" w:themeColor="text1"/>
        </w:rPr>
        <w:t>) On cross-examination, Mr. Giblin stated that it was his understanding that a reasonable accommodation in the form of an assistance animal would only be required under the law when a dog is specially trained to assist a disabled person. Mr. Giblin never asked Ms. Rubin about her disability, but understood from Ms. Rubin’s application that she needed a dog to address mobility issues.</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Upon review of the evidence, the Commission found all the testimonies credible. (FOF ¶ 52.) The Commission began its reasoning by concluding that the Ordinance is applicable because Kennedy House is a “Housing Accommodation” within the meaning of Section 9–1102 of the Ordinance. (Commission Decision, Conclusions of Law (COL) ¶ 59.)</w:t>
      </w:r>
      <w:bookmarkStart w:id="91" w:name="co_footnoteReference_B00442039349007_ID0"/>
      <w:bookmarkEnd w:id="91"/>
      <w:r w:rsidRPr="00A5086E">
        <w:rPr>
          <w:rFonts w:cstheme="minorHAnsi"/>
          <w:color w:val="000000" w:themeColor="text1"/>
        </w:rPr>
        <w:fldChar w:fldCharType="begin"/>
      </w:r>
      <w:r w:rsidRPr="00A5086E">
        <w:rPr>
          <w:rFonts w:cstheme="minorHAnsi"/>
          <w:color w:val="000000" w:themeColor="text1"/>
        </w:rPr>
        <w:instrText xml:space="preserve">HYPERLINK "#co_footnote_B00442039349007_1" </w:instrText>
      </w:r>
      <w:r w:rsidRPr="00A5086E">
        <w:rPr>
          <w:rFonts w:cstheme="minorHAnsi"/>
          <w:color w:val="000000" w:themeColor="text1"/>
        </w:rPr>
        <w:fldChar w:fldCharType="separate"/>
      </w:r>
      <w:r w:rsidRPr="00A5086E">
        <w:rPr>
          <w:rFonts w:cstheme="minorHAnsi"/>
          <w:color w:val="000000" w:themeColor="text1"/>
          <w:vertAlign w:val="superscript"/>
        </w:rPr>
        <w:t>4</w:t>
      </w:r>
      <w:r w:rsidRPr="00A5086E">
        <w:rPr>
          <w:rFonts w:cstheme="minorHAnsi"/>
          <w:color w:val="000000" w:themeColor="text1"/>
        </w:rPr>
        <w:fldChar w:fldCharType="end"/>
      </w:r>
      <w:r w:rsidRPr="00A5086E">
        <w:rPr>
          <w:rFonts w:cstheme="minorHAnsi"/>
          <w:color w:val="000000" w:themeColor="text1"/>
        </w:rPr>
        <w:t xml:space="preserve"> Section 9–1108(1) of the Ordinance provides: “It shall be an unlawful housing and real property practice to deny or interfere with the housing accommodation, commercial property or other real property opportunities of an individual or otherwise discriminate based on his or her ... disability ...” Phila. Code § 9–1108(1). The Ordinance defines discrimination as:</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spacing w:before="200"/>
        <w:ind w:left="200"/>
        <w:jc w:val="both"/>
        <w:rPr>
          <w:rFonts w:cstheme="minorHAnsi"/>
          <w:b/>
          <w:bCs/>
          <w:color w:val="000000" w:themeColor="text1"/>
        </w:rPr>
      </w:pPr>
      <w:r w:rsidRPr="00A5086E">
        <w:rPr>
          <w:rFonts w:cstheme="minorHAnsi"/>
          <w:color w:val="000000" w:themeColor="text1"/>
        </w:rPr>
        <w:t xml:space="preserve">Any direct or indirect practice of exclusion, distinction, restriction, segregation, limitation, refusal, denial, differentiation or preference in the treatment of a person on the basis of actual or perceived </w:t>
      </w:r>
      <w:r w:rsidRPr="00A5086E">
        <w:rPr>
          <w:rFonts w:cstheme="minorHAnsi"/>
          <w:color w:val="000000" w:themeColor="text1"/>
        </w:rPr>
        <w:lastRenderedPageBreak/>
        <w:t xml:space="preserve">... disability ... </w:t>
      </w:r>
      <w:r w:rsidRPr="00A5086E">
        <w:rPr>
          <w:rFonts w:cstheme="minorHAnsi"/>
          <w:b/>
          <w:bCs/>
          <w:color w:val="000000" w:themeColor="text1"/>
        </w:rPr>
        <w:t>or other act or practice made unlawful under this Chapter or under the nondiscrimination laws of the United States or the Commonwealth of Pennsylvania.</w:t>
      </w:r>
    </w:p>
    <w:p w:rsidR="00793CB5" w:rsidRPr="00A5086E" w:rsidRDefault="00793CB5" w:rsidP="00793CB5">
      <w:pPr>
        <w:widowControl w:val="0"/>
        <w:autoSpaceDE w:val="0"/>
        <w:autoSpaceDN w:val="0"/>
        <w:adjustRightInd w:val="0"/>
        <w:ind w:left="200"/>
        <w:jc w:val="both"/>
        <w:rPr>
          <w:rFonts w:cstheme="minorHAnsi"/>
          <w:color w:val="000000" w:themeColor="text1"/>
        </w:rPr>
      </w:pPr>
      <w:proofErr w:type="spellStart"/>
      <w:r w:rsidRPr="00A5086E">
        <w:rPr>
          <w:rFonts w:cstheme="minorHAnsi"/>
          <w:color w:val="000000" w:themeColor="text1"/>
        </w:rPr>
        <w:t>Phila.Code</w:t>
      </w:r>
      <w:proofErr w:type="spellEnd"/>
      <w:r w:rsidRPr="00A5086E">
        <w:rPr>
          <w:rFonts w:cstheme="minorHAnsi"/>
          <w:color w:val="000000" w:themeColor="text1"/>
        </w:rPr>
        <w:t xml:space="preserve"> § 9–1102(1)(e) (emphasis added).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Finding no precedent directly on point, the Commission viewed the case as one of first impression and interpreted the meaning of Section 9–1108(1) of the Ordinance by looking to Section 804(f) of Title VIII of the federal Civil Rights Act of 1968, commonly referred to as the Fair Housing Act (FHA), </w:t>
      </w:r>
      <w:hyperlink r:id="rId101" w:anchor="co_pp_ae0d0000c5150" w:history="1">
        <w:r w:rsidRPr="00A5086E">
          <w:rPr>
            <w:rFonts w:cstheme="minorHAnsi"/>
            <w:color w:val="000000" w:themeColor="text1"/>
          </w:rPr>
          <w:t>42 U.S.C. § 3604(f)</w:t>
        </w:r>
      </w:hyperlink>
      <w:r w:rsidRPr="00A5086E">
        <w:rPr>
          <w:rFonts w:cstheme="minorHAnsi"/>
          <w:color w:val="000000" w:themeColor="text1"/>
        </w:rPr>
        <w:t>.</w:t>
      </w:r>
      <w:bookmarkStart w:id="92" w:name="co_footnoteReference_B00552039349007_ID0"/>
      <w:bookmarkEnd w:id="92"/>
      <w:r w:rsidRPr="00A5086E">
        <w:rPr>
          <w:rFonts w:cstheme="minorHAnsi"/>
          <w:color w:val="000000" w:themeColor="text1"/>
        </w:rPr>
        <w:fldChar w:fldCharType="begin"/>
      </w:r>
      <w:r w:rsidRPr="00A5086E">
        <w:rPr>
          <w:rFonts w:cstheme="minorHAnsi"/>
          <w:color w:val="000000" w:themeColor="text1"/>
        </w:rPr>
        <w:instrText xml:space="preserve">HYPERLINK "#co_footnote_B00552039349007_1" </w:instrText>
      </w:r>
      <w:r w:rsidRPr="00A5086E">
        <w:rPr>
          <w:rFonts w:cstheme="minorHAnsi"/>
          <w:color w:val="000000" w:themeColor="text1"/>
        </w:rPr>
        <w:fldChar w:fldCharType="separate"/>
      </w:r>
      <w:r w:rsidRPr="00A5086E">
        <w:rPr>
          <w:rFonts w:cstheme="minorHAnsi"/>
          <w:color w:val="000000" w:themeColor="text1"/>
          <w:vertAlign w:val="superscript"/>
        </w:rPr>
        <w:t>5</w:t>
      </w:r>
      <w:r w:rsidRPr="00A5086E">
        <w:rPr>
          <w:rFonts w:cstheme="minorHAnsi"/>
          <w:color w:val="000000" w:themeColor="text1"/>
        </w:rPr>
        <w:fldChar w:fldCharType="end"/>
      </w:r>
      <w:r w:rsidRPr="00A5086E">
        <w:rPr>
          <w:rFonts w:cstheme="minorHAnsi"/>
          <w:color w:val="000000" w:themeColor="text1"/>
        </w:rPr>
        <w:t xml:space="preserve"> (COL ¶ 62.) Section 804(f) of the FHA makes it unlawful to discriminate in the sale or rental of a dwelling against a person based on a disability.</w:t>
      </w:r>
      <w:bookmarkStart w:id="93" w:name="co_footnoteReference_B00662039349007_ID0"/>
      <w:bookmarkEnd w:id="93"/>
      <w:r w:rsidRPr="00A5086E">
        <w:rPr>
          <w:rFonts w:cstheme="minorHAnsi"/>
          <w:color w:val="000000" w:themeColor="text1"/>
        </w:rPr>
        <w:fldChar w:fldCharType="begin"/>
      </w:r>
      <w:r w:rsidRPr="00A5086E">
        <w:rPr>
          <w:rFonts w:cstheme="minorHAnsi"/>
          <w:color w:val="000000" w:themeColor="text1"/>
        </w:rPr>
        <w:instrText xml:space="preserve">HYPERLINK "#co_footnote_B00662039349007_1" </w:instrText>
      </w:r>
      <w:r w:rsidRPr="00A5086E">
        <w:rPr>
          <w:rFonts w:cstheme="minorHAnsi"/>
          <w:color w:val="000000" w:themeColor="text1"/>
        </w:rPr>
        <w:fldChar w:fldCharType="separate"/>
      </w:r>
      <w:r w:rsidRPr="00A5086E">
        <w:rPr>
          <w:rFonts w:cstheme="minorHAnsi"/>
          <w:color w:val="000000" w:themeColor="text1"/>
          <w:vertAlign w:val="superscript"/>
        </w:rPr>
        <w:t>6</w:t>
      </w:r>
      <w:r w:rsidRPr="00A5086E">
        <w:rPr>
          <w:rFonts w:cstheme="minorHAnsi"/>
          <w:color w:val="000000" w:themeColor="text1"/>
        </w:rPr>
        <w:fldChar w:fldCharType="end"/>
      </w:r>
      <w:r w:rsidRPr="00A5086E">
        <w:rPr>
          <w:rFonts w:cstheme="minorHAnsi"/>
          <w:color w:val="000000" w:themeColor="text1"/>
        </w:rPr>
        <w:t xml:space="preserve"> </w:t>
      </w:r>
      <w:hyperlink r:id="rId102" w:anchor="co_pp_9daf00009de57" w:history="1">
        <w:r w:rsidRPr="00A5086E">
          <w:rPr>
            <w:rFonts w:cstheme="minorHAnsi"/>
            <w:color w:val="000000" w:themeColor="text1"/>
          </w:rPr>
          <w:t>42 U.S.C. § 3604(f)(1), (2)</w:t>
        </w:r>
      </w:hyperlink>
      <w:r w:rsidRPr="00A5086E">
        <w:rPr>
          <w:rFonts w:cstheme="minorHAnsi"/>
          <w:color w:val="000000" w:themeColor="text1"/>
        </w:rPr>
        <w:t xml:space="preserve">. Discrimination under Section 804(f) of the FHA includes “a refusal to make reasonable accommodations in rules, policies, practices, or services, when such accommodations may be necessary to afford such </w:t>
      </w:r>
      <w:bookmarkStart w:id="94" w:name="co_pp_sp_7691_483_1"/>
      <w:bookmarkEnd w:id="94"/>
      <w:r w:rsidRPr="00A5086E">
        <w:rPr>
          <w:rFonts w:cstheme="minorHAnsi"/>
          <w:b/>
          <w:bCs/>
          <w:color w:val="000000" w:themeColor="text1"/>
        </w:rPr>
        <w:t>*483</w:t>
      </w:r>
      <w:r w:rsidRPr="00A5086E">
        <w:rPr>
          <w:rFonts w:cstheme="minorHAnsi"/>
          <w:color w:val="000000" w:themeColor="text1"/>
        </w:rPr>
        <w:t xml:space="preserve"> person equal opportunity to use and enjoy a dwelling.” </w:t>
      </w:r>
      <w:hyperlink r:id="rId103" w:anchor="co_pp_6deb0000dc6a3" w:history="1">
        <w:r w:rsidRPr="00A5086E">
          <w:rPr>
            <w:rFonts w:cstheme="minorHAnsi"/>
            <w:color w:val="000000" w:themeColor="text1"/>
          </w:rPr>
          <w:t>42 U.S.C. § 3604(f)(3)(B)</w:t>
        </w:r>
      </w:hyperlink>
      <w:r w:rsidRPr="00A5086E">
        <w:rPr>
          <w:rFonts w:cstheme="minorHAnsi"/>
          <w:color w:val="000000" w:themeColor="text1"/>
        </w:rPr>
        <w:t>.</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While noting that the Ordinance does not explicitly require a Housing Accommodation to provide a reasonable accommodation for disabled persons, the Commission concluded that because the Ordinance references the nondiscrimination laws of the United States or the Commonwealth of Pennsylvania and the FHA requires reasonable accommodations “when such accommodations may be necessary to afford such person equal opportunity to use and enjoy a dwelling,” the Ordinance prohibits refusal of reasonable accommodations. (COL ¶¶ 60–63, 66–67 (quoting </w:t>
      </w:r>
      <w:hyperlink r:id="rId104" w:anchor="co_pp_6deb0000dc6a3" w:history="1">
        <w:r w:rsidRPr="00A5086E">
          <w:rPr>
            <w:rFonts w:cstheme="minorHAnsi"/>
            <w:color w:val="000000" w:themeColor="text1"/>
          </w:rPr>
          <w:t>42 U.S.C. § 3604(f)(3)(B)</w:t>
        </w:r>
      </w:hyperlink>
      <w:r w:rsidRPr="00A5086E">
        <w:rPr>
          <w:rFonts w:cstheme="minorHAnsi"/>
          <w:color w:val="000000" w:themeColor="text1"/>
        </w:rPr>
        <w:t>).) Upon review of applicable case law and guidance from the U.S. Department of Housing and Urban Development (HUD), the Commission further concluded that “under Section 9–1108(1) of the ... Ordinance, a reasonable accommodation in the housing context includes not only specially trained ‘service animals’ but also ‘assistance animals.</w:t>
      </w:r>
      <w:proofErr w:type="gramStart"/>
      <w:r w:rsidRPr="00A5086E">
        <w:rPr>
          <w:rFonts w:cstheme="minorHAnsi"/>
          <w:color w:val="000000" w:themeColor="text1"/>
        </w:rPr>
        <w:t>’ ”</w:t>
      </w:r>
      <w:proofErr w:type="gramEnd"/>
      <w:r w:rsidRPr="00A5086E">
        <w:rPr>
          <w:rFonts w:cstheme="minorHAnsi"/>
          <w:color w:val="000000" w:themeColor="text1"/>
        </w:rPr>
        <w:t xml:space="preserve"> (COL ¶ 87.)</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Commission applied the test used by the United States Court of Appeals for the Third Circuit (Third Circuit) to analyze reasonable accommodations challenges under the FHA in </w:t>
      </w:r>
      <w:hyperlink r:id="rId105" w:history="1">
        <w:proofErr w:type="spellStart"/>
        <w:r w:rsidRPr="00A5086E">
          <w:rPr>
            <w:rFonts w:cstheme="minorHAnsi"/>
            <w:i/>
            <w:iCs/>
            <w:color w:val="000000" w:themeColor="text1"/>
          </w:rPr>
          <w:t>Lapid</w:t>
        </w:r>
        <w:proofErr w:type="spellEnd"/>
        <w:r w:rsidRPr="00A5086E">
          <w:rPr>
            <w:rFonts w:cstheme="minorHAnsi"/>
            <w:i/>
            <w:iCs/>
            <w:color w:val="000000" w:themeColor="text1"/>
          </w:rPr>
          <w:t>–Laurel, L.L.C. v. Zoning Bd. of Adjustment of Twp. of Scotch Plains,</w:t>
        </w:r>
        <w:r w:rsidRPr="00A5086E">
          <w:rPr>
            <w:rFonts w:cstheme="minorHAnsi"/>
            <w:color w:val="000000" w:themeColor="text1"/>
          </w:rPr>
          <w:t xml:space="preserve"> 284 F.3d 442 (3d Cir.2002)</w:t>
        </w:r>
      </w:hyperlink>
      <w:r w:rsidRPr="00A5086E">
        <w:rPr>
          <w:rFonts w:cstheme="minorHAnsi"/>
          <w:color w:val="000000" w:themeColor="text1"/>
        </w:rPr>
        <w:t>. There, the Third Circuit held that “the [complainant] bears the initial burden of showing that its requested accommodations are ‘</w:t>
      </w:r>
      <w:r w:rsidRPr="00A5086E">
        <w:rPr>
          <w:rFonts w:cstheme="minorHAnsi"/>
          <w:b/>
          <w:bCs/>
          <w:color w:val="000000" w:themeColor="text1"/>
        </w:rPr>
        <w:t>necessary</w:t>
      </w:r>
      <w:r w:rsidRPr="00A5086E">
        <w:rPr>
          <w:rFonts w:cstheme="minorHAnsi"/>
          <w:color w:val="000000" w:themeColor="text1"/>
        </w:rPr>
        <w:t xml:space="preserve"> to afford [disabled] person[s][an] equal opportunity to use and enjoy a dwelling’ ... at which point the burden shifts to the defendant to show that the requested accommodations are </w:t>
      </w:r>
      <w:r w:rsidRPr="00A5086E">
        <w:rPr>
          <w:rFonts w:cstheme="minorHAnsi"/>
          <w:b/>
          <w:bCs/>
          <w:color w:val="000000" w:themeColor="text1"/>
        </w:rPr>
        <w:t>unreasonable.</w:t>
      </w:r>
      <w:r w:rsidRPr="00A5086E">
        <w:rPr>
          <w:rFonts w:cstheme="minorHAnsi"/>
          <w:color w:val="000000" w:themeColor="text1"/>
        </w:rPr>
        <w:t xml:space="preserve">” (COL ¶ 94 (quoting </w:t>
      </w:r>
      <w:hyperlink r:id="rId106" w:anchor="co_pp_sp_506_446" w:history="1">
        <w:proofErr w:type="spellStart"/>
        <w:r w:rsidRPr="00A5086E">
          <w:rPr>
            <w:rFonts w:cstheme="minorHAnsi"/>
            <w:i/>
            <w:iCs/>
            <w:color w:val="000000" w:themeColor="text1"/>
          </w:rPr>
          <w:t>Lapid</w:t>
        </w:r>
        <w:proofErr w:type="spellEnd"/>
        <w:r w:rsidRPr="00A5086E">
          <w:rPr>
            <w:rFonts w:cstheme="minorHAnsi"/>
            <w:i/>
            <w:iCs/>
            <w:color w:val="000000" w:themeColor="text1"/>
          </w:rPr>
          <w:t>–Laurel,</w:t>
        </w:r>
        <w:r w:rsidRPr="00A5086E">
          <w:rPr>
            <w:rFonts w:cstheme="minorHAnsi"/>
            <w:color w:val="000000" w:themeColor="text1"/>
          </w:rPr>
          <w:t xml:space="preserve"> 284 F.3d at 446</w:t>
        </w:r>
      </w:hyperlink>
      <w:r w:rsidRPr="00A5086E">
        <w:rPr>
          <w:rFonts w:cstheme="minorHAnsi"/>
          <w:color w:val="000000" w:themeColor="text1"/>
        </w:rPr>
        <w:t>) (emphasis added).) In assessing whether Ms. Rubin met her initial burden, the Commission reasoned:</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(89) Of course, an accommodation is only “necessary” if there is a nexus between the requested accommodation and the individual’s disability, as the person with a disability who is requesting the assistance animal must demonstrate a disability-related need for the animal. That is, the animal [must] work, provide assistance, perform tasks or services for the benefit of a person with a disability, or provide emotional support that alleviates one or more of the identified symptoms or effects of a person’s existing disability.</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(90) Kennedy House maintains that there is no nexus between Ms. Rubin’s physical mobility disabilities and the emotional support the dog provides. Kennedy House argues that while Ms. Rubin’s dog may contribute to her emotional well-being, she has no psychological or mental health impairments, and the dog purportedly does not assist her with the physical disabilities she does have.</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 xml:space="preserve">(91) The Commission disagrees with Kennedy House’s position regarding the lack of a nexus between Ms. Rubin’s disability and the dog’s assistance. Ms. Rubin has a physical disability that causes her significant chronic pain, affects her ability to lead a normal and orderly life and take care of herself, </w:t>
      </w:r>
      <w:r w:rsidRPr="00A5086E">
        <w:rPr>
          <w:rFonts w:cstheme="minorHAnsi"/>
          <w:color w:val="000000" w:themeColor="text1"/>
        </w:rPr>
        <w:lastRenderedPageBreak/>
        <w:t xml:space="preserve">and causes social isolation. Her dog substantially aids her, by forcing her to have a more ordered life, by being demanding of her, by reminding her to take her medications, eat meals, get up and out of bed and otherwise reminding Ms. Rubin what she is supposed to be doing at any given time. Although the dog Mira is usually walked by other people, Ms. Rubin also occasionally walks her, allowing Rubin to “sometimes </w:t>
      </w:r>
      <w:proofErr w:type="gramStart"/>
      <w:r w:rsidRPr="00A5086E">
        <w:rPr>
          <w:rFonts w:cstheme="minorHAnsi"/>
          <w:color w:val="000000" w:themeColor="text1"/>
        </w:rPr>
        <w:t>get[</w:t>
      </w:r>
      <w:proofErr w:type="gramEnd"/>
      <w:r w:rsidRPr="00A5086E">
        <w:rPr>
          <w:rFonts w:cstheme="minorHAnsi"/>
          <w:color w:val="000000" w:themeColor="text1"/>
        </w:rPr>
        <w:t xml:space="preserve"> ] to see [her] neighbors and get a bit of fresh air.”</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bookmarkStart w:id="95" w:name="co_pp_sp_7691_484_1"/>
      <w:bookmarkEnd w:id="95"/>
      <w:r w:rsidRPr="00A5086E">
        <w:rPr>
          <w:rFonts w:cstheme="minorHAnsi"/>
          <w:b/>
          <w:bCs/>
          <w:color w:val="000000" w:themeColor="text1"/>
        </w:rPr>
        <w:t>*484</w:t>
      </w:r>
      <w:r w:rsidRPr="00A5086E">
        <w:rPr>
          <w:rFonts w:cstheme="minorHAnsi"/>
          <w:color w:val="000000" w:themeColor="text1"/>
        </w:rPr>
        <w:t xml:space="preserve"> (92) The nexus between Ms. Rubin’s disability and the dog’s assistance is also supported by her doctor’s statement. Ms. Rubin’s primary care physician, Dr. Wynn[e] attested that the accommodation requested by Ms. Rubin—allowance of her dog despite Kennedy House’s no-dog policy</w:t>
      </w:r>
      <w:proofErr w:type="gramStart"/>
      <w:r w:rsidRPr="00A5086E">
        <w:rPr>
          <w:rFonts w:cstheme="minorHAnsi"/>
          <w:color w:val="000000" w:themeColor="text1"/>
        </w:rPr>
        <w:t>—“</w:t>
      </w:r>
      <w:proofErr w:type="gramEnd"/>
      <w:r w:rsidRPr="00A5086E">
        <w:rPr>
          <w:rFonts w:cstheme="minorHAnsi"/>
          <w:color w:val="000000" w:themeColor="text1"/>
        </w:rPr>
        <w:t>is consistent with her needs associated with her disability.”</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(93) Thus, the record clearly establishes a nexus between the requested accommodation and Ms. Rubin’s disability, as the dog Mira, “alleviates one or more identified symptoms or effects of [Ms. Rubin’s] disability.”</w:t>
      </w:r>
    </w:p>
    <w:p w:rsidR="00793CB5" w:rsidRPr="00A5086E" w:rsidRDefault="00793CB5" w:rsidP="00793CB5">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(COL ¶¶ 89–93 (citations and parentheticals omitted).) The Commission therefore concluded that Ms. Rubin “carried her burden and the burden shifted to Kennedy House to show that waiving its ‘no-dog’ rule for Ms. Rubin would be unreasonable.” (COL ¶ 94.) Finding that Kennedy House provided no evidence relevant to the question of whether the accommodation would be unreasonable, the Commission concluded that Kennedy House did not satisfy its burden and further concluded that the requested accommodation “is also reasonable in that it will cost Kennedy House nothing to provide, and no changes or construction to the building would need to be made.” (</w:t>
      </w:r>
      <w:r w:rsidRPr="00A5086E">
        <w:rPr>
          <w:rFonts w:cstheme="minorHAnsi"/>
          <w:i/>
          <w:iCs/>
          <w:color w:val="000000" w:themeColor="text1"/>
        </w:rPr>
        <w:t>Id.</w:t>
      </w:r>
      <w:r w:rsidRPr="00A5086E">
        <w:rPr>
          <w:rFonts w:cstheme="minorHAnsi"/>
          <w:color w:val="000000" w:themeColor="text1"/>
        </w:rPr>
        <w:t>) Accordingly, the Commission held that Kennedy House violated Section 9–1108(1) of the Ordinance and ordered Kennedy House to</w:t>
      </w:r>
    </w:p>
    <w:p w:rsidR="00793CB5" w:rsidRPr="00A5086E" w:rsidRDefault="00793CB5" w:rsidP="00793CB5">
      <w:pPr>
        <w:widowControl w:val="0"/>
        <w:autoSpaceDE w:val="0"/>
        <w:autoSpaceDN w:val="0"/>
        <w:adjustRightInd w:val="0"/>
        <w:spacing w:before="250"/>
        <w:ind w:left="720" w:right="800"/>
        <w:jc w:val="both"/>
        <w:rPr>
          <w:rFonts w:cstheme="minorHAnsi"/>
          <w:color w:val="000000" w:themeColor="text1"/>
        </w:rPr>
      </w:pPr>
      <w:r w:rsidRPr="00A5086E">
        <w:rPr>
          <w:rFonts w:cstheme="minorHAnsi"/>
          <w:color w:val="000000" w:themeColor="text1"/>
        </w:rPr>
        <w:t>immediately place Ms. Rubin at the top of the waiting list, in the same position in the application process she was in November 2012, before the [u]nit she sought to purchase became available, and shall grant a waiver to its no-dog policy, permitting Ms. Rubin to keep an assistance animal, as a reasonable accommodation to Ms. Rubin’s disability.</w:t>
      </w:r>
    </w:p>
    <w:p w:rsidR="00793CB5" w:rsidRPr="00A5086E" w:rsidRDefault="00793CB5" w:rsidP="00793CB5">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(COL ¶ 101.) The Commission assessed no compensatory or punitive damages on the basis that the case addressed an issue of first impression and Kennedy House’s defense was made in good faith. (COL ¶ 102.)</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A82B37" w:rsidP="00793CB5">
      <w:pPr>
        <w:widowControl w:val="0"/>
        <w:autoSpaceDE w:val="0"/>
        <w:autoSpaceDN w:val="0"/>
        <w:adjustRightInd w:val="0"/>
        <w:jc w:val="both"/>
        <w:rPr>
          <w:rFonts w:cstheme="minorHAnsi"/>
          <w:color w:val="000000" w:themeColor="text1"/>
        </w:rPr>
      </w:pPr>
      <w:hyperlink w:anchor="co_anchor_F12039349007_1" w:history="1">
        <w:r w:rsidR="00793CB5" w:rsidRPr="00A5086E">
          <w:rPr>
            <w:rFonts w:cstheme="minorHAnsi"/>
            <w:b/>
            <w:bCs/>
            <w:color w:val="000000" w:themeColor="text1"/>
            <w:vertAlign w:val="superscript"/>
          </w:rPr>
          <w:t>[1]</w:t>
        </w:r>
      </w:hyperlink>
      <w:bookmarkStart w:id="96" w:name="co_anchor_B12039349007_1"/>
      <w:bookmarkEnd w:id="96"/>
      <w:r w:rsidR="00793CB5" w:rsidRPr="00A5086E">
        <w:rPr>
          <w:rFonts w:cstheme="minorHAnsi"/>
          <w:color w:val="000000" w:themeColor="text1"/>
        </w:rPr>
        <w:t xml:space="preserve"> </w:t>
      </w:r>
      <w:hyperlink w:anchor="co_anchor_F22039349007_1" w:history="1">
        <w:r w:rsidR="00793CB5" w:rsidRPr="00A5086E">
          <w:rPr>
            <w:rFonts w:cstheme="minorHAnsi"/>
            <w:b/>
            <w:bCs/>
            <w:color w:val="000000" w:themeColor="text1"/>
            <w:vertAlign w:val="superscript"/>
          </w:rPr>
          <w:t>[2]</w:t>
        </w:r>
      </w:hyperlink>
      <w:bookmarkStart w:id="97" w:name="co_anchor_B22039349007_1"/>
      <w:bookmarkEnd w:id="97"/>
      <w:r w:rsidR="00793CB5" w:rsidRPr="00A5086E">
        <w:rPr>
          <w:rFonts w:cstheme="minorHAnsi"/>
          <w:color w:val="000000" w:themeColor="text1"/>
        </w:rPr>
        <w:t xml:space="preserve"> Kennedy House appealed to common pleas, which adopted the decision of the Commission as its own and held that the Commission’s conclusions were based upon substantial evidence of record. This appeal followed.</w:t>
      </w:r>
      <w:bookmarkStart w:id="98" w:name="co_footnoteReference_B00772039349007_ID0"/>
      <w:bookmarkEnd w:id="98"/>
      <w:r w:rsidR="00793CB5" w:rsidRPr="00A5086E">
        <w:rPr>
          <w:rFonts w:cstheme="minorHAnsi"/>
          <w:color w:val="000000" w:themeColor="text1"/>
        </w:rPr>
        <w:fldChar w:fldCharType="begin"/>
      </w:r>
      <w:r w:rsidR="00793CB5" w:rsidRPr="00A5086E">
        <w:rPr>
          <w:rFonts w:cstheme="minorHAnsi"/>
          <w:color w:val="000000" w:themeColor="text1"/>
        </w:rPr>
        <w:instrText xml:space="preserve">HYPERLINK "#co_footnote_B00772039349007_1" </w:instrText>
      </w:r>
      <w:r w:rsidR="00793CB5" w:rsidRPr="00A5086E">
        <w:rPr>
          <w:rFonts w:cstheme="minorHAnsi"/>
          <w:color w:val="000000" w:themeColor="text1"/>
        </w:rPr>
        <w:fldChar w:fldCharType="separate"/>
      </w:r>
      <w:r w:rsidR="00793CB5" w:rsidRPr="00A5086E">
        <w:rPr>
          <w:rFonts w:cstheme="minorHAnsi"/>
          <w:color w:val="000000" w:themeColor="text1"/>
          <w:vertAlign w:val="superscript"/>
        </w:rPr>
        <w:t>7</w:t>
      </w:r>
      <w:r w:rsidR="00793CB5" w:rsidRPr="00A5086E">
        <w:rPr>
          <w:rFonts w:cstheme="minorHAnsi"/>
          <w:color w:val="000000" w:themeColor="text1"/>
        </w:rPr>
        <w:fldChar w:fldCharType="end"/>
      </w:r>
      <w:bookmarkStart w:id="99" w:name="co_anchor_I8c153426bbe611e698dc8b09b4f04"/>
      <w:bookmarkEnd w:id="99"/>
    </w:p>
    <w:p w:rsidR="00793CB5" w:rsidRPr="00A5086E" w:rsidRDefault="00793CB5" w:rsidP="00793CB5">
      <w:pPr>
        <w:widowControl w:val="0"/>
        <w:autoSpaceDE w:val="0"/>
        <w:autoSpaceDN w:val="0"/>
        <w:adjustRightInd w:val="0"/>
        <w:spacing w:before="400"/>
        <w:rPr>
          <w:rFonts w:cstheme="minorHAnsi"/>
          <w:b/>
          <w:bCs/>
          <w:color w:val="000000" w:themeColor="text1"/>
        </w:rPr>
      </w:pPr>
      <w:r w:rsidRPr="00A5086E">
        <w:rPr>
          <w:rFonts w:cstheme="minorHAnsi"/>
          <w:b/>
          <w:bCs/>
          <w:color w:val="000000" w:themeColor="text1"/>
        </w:rPr>
        <w:t>III. ISSUES RAISED ON APPEAL</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On appeal, Kennedy House argues that common pleas erred by finding a sufficient nexus between Ms. Rubin’s physical limitations and the support provided by Mira. According to Kennedy House, a proposed accommodation is not necessary if it does not provide </w:t>
      </w:r>
      <w:proofErr w:type="gramStart"/>
      <w:r w:rsidRPr="00A5086E">
        <w:rPr>
          <w:rFonts w:cstheme="minorHAnsi"/>
          <w:color w:val="000000" w:themeColor="text1"/>
        </w:rPr>
        <w:t>“ ‘</w:t>
      </w:r>
      <w:proofErr w:type="gramEnd"/>
      <w:r w:rsidRPr="00A5086E">
        <w:rPr>
          <w:rFonts w:cstheme="minorHAnsi"/>
          <w:color w:val="000000" w:themeColor="text1"/>
        </w:rPr>
        <w:t xml:space="preserve">direct amelioration of a disability’s effect....’ ” (Kennedy House’s Br. at 15 (quoting </w:t>
      </w:r>
      <w:hyperlink r:id="rId107" w:anchor="co_pp_sp_506_749" w:history="1">
        <w:r w:rsidRPr="00A5086E">
          <w:rPr>
            <w:rFonts w:cstheme="minorHAnsi"/>
            <w:i/>
            <w:iCs/>
            <w:color w:val="000000" w:themeColor="text1"/>
          </w:rPr>
          <w:t xml:space="preserve">Wisconsin </w:t>
        </w:r>
        <w:proofErr w:type="spellStart"/>
        <w:r w:rsidRPr="00A5086E">
          <w:rPr>
            <w:rFonts w:cstheme="minorHAnsi"/>
            <w:i/>
            <w:iCs/>
            <w:color w:val="000000" w:themeColor="text1"/>
          </w:rPr>
          <w:t>Cmty</w:t>
        </w:r>
        <w:proofErr w:type="spellEnd"/>
        <w:r w:rsidRPr="00A5086E">
          <w:rPr>
            <w:rFonts w:cstheme="minorHAnsi"/>
            <w:i/>
            <w:iCs/>
            <w:color w:val="000000" w:themeColor="text1"/>
          </w:rPr>
          <w:t>. Servs., Inc. v. City of Milwaukee,</w:t>
        </w:r>
        <w:r w:rsidRPr="00A5086E">
          <w:rPr>
            <w:rFonts w:cstheme="minorHAnsi"/>
            <w:color w:val="000000" w:themeColor="text1"/>
          </w:rPr>
          <w:t xml:space="preserve"> 465 F.3d 737, 749 (7th Cir.2006)</w:t>
        </w:r>
      </w:hyperlink>
      <w:r w:rsidRPr="00A5086E">
        <w:rPr>
          <w:rFonts w:cstheme="minorHAnsi"/>
          <w:color w:val="000000" w:themeColor="text1"/>
        </w:rPr>
        <w:t xml:space="preserve">).) Kennedy House acknowledges that Ms. Rubin suffers from a disability that limits her mobility; however, it argues that Mira does not provide Ms. Rubin with assistance related to Ms. Rubin’s mobility and submits that Ms. </w:t>
      </w:r>
      <w:bookmarkStart w:id="100" w:name="co_pp_sp_7691_485_1"/>
      <w:bookmarkEnd w:id="100"/>
      <w:r w:rsidRPr="00A5086E">
        <w:rPr>
          <w:rFonts w:cstheme="minorHAnsi"/>
          <w:b/>
          <w:bCs/>
          <w:color w:val="000000" w:themeColor="text1"/>
        </w:rPr>
        <w:t>*485</w:t>
      </w:r>
      <w:r w:rsidRPr="00A5086E">
        <w:rPr>
          <w:rFonts w:cstheme="minorHAnsi"/>
          <w:color w:val="000000" w:themeColor="text1"/>
        </w:rPr>
        <w:t xml:space="preserve"> Rubin conceded this point in her testimony to the Commission. According to Kennedy House, common pleas misapplied the law by requiring an accommodation that provides Ms. Rubin with psychological or emotional support when Ms. Rubin has no psychological or </w:t>
      </w:r>
      <w:r w:rsidRPr="00A5086E">
        <w:rPr>
          <w:rFonts w:cstheme="minorHAnsi"/>
          <w:color w:val="000000" w:themeColor="text1"/>
        </w:rPr>
        <w:lastRenderedPageBreak/>
        <w:t>emotional disability. Relatedly, Kennedy House argues that in holding that the Ordinance requires it to provide an accommodation to disabled individuals to keep animals that only have “some relation to their disability,” common pleas and the Commission created new law and applied it to Kennedy House retroactively. (Kennedy House’s Br. at 23.)</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Kennedy House further argues that the Commission’s findings, as adopted by common pleas, are not supported by substantial evidence. Kennedy House contends that the Commission improperly relied upon the testimony of Dr. Meister, a veterinarian, in determining that sufficient nexus was established between Ms. Rubin’s disability and the services provided by Mira. Dr. Meister unequivocally stated in his testimony that he was not qualified to offer an opinion as to the medical treatments or assistance necessary to alleviate or treat Ms. Rubin’s disability.</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Amici Curiae, four residents of Kennedy House, submitted a brief in support of themselves and other similarly situated residents of Kennedy House. Amici argue that because Ms. Rubin’s Complaint was brought under the Ordinance, federal and state precedent addressing the FHA is irrelevant. Amici assert that because the “reasonable accommodation” requirement of the FHA does not apply to the </w:t>
      </w:r>
      <w:proofErr w:type="gramStart"/>
      <w:r w:rsidRPr="00A5086E">
        <w:rPr>
          <w:rFonts w:cstheme="minorHAnsi"/>
          <w:color w:val="000000" w:themeColor="text1"/>
        </w:rPr>
        <w:t>Ordinance,</w:t>
      </w:r>
      <w:proofErr w:type="gramEnd"/>
      <w:r w:rsidRPr="00A5086E">
        <w:rPr>
          <w:rFonts w:cstheme="minorHAnsi"/>
          <w:color w:val="000000" w:themeColor="text1"/>
        </w:rPr>
        <w:t xml:space="preserve"> the Commission should not have required Kennedy House to submit evidence that the accommodation requested was unreasonable. Amici further argue, based largely on facts outside the record, that even if the FHA applies, the accommodation ordered by the Commission is unreasonable because allowing a waiver of the no-dog policy will endanger the health and welfare of Kennedy House residents.</w:t>
      </w:r>
      <w:bookmarkStart w:id="101" w:name="co_anchor_I8c153427bbe611e698dc8b09b4f04"/>
      <w:bookmarkEnd w:id="101"/>
    </w:p>
    <w:p w:rsidR="00793CB5" w:rsidRPr="00A5086E" w:rsidRDefault="00793CB5" w:rsidP="00793CB5">
      <w:pPr>
        <w:widowControl w:val="0"/>
        <w:autoSpaceDE w:val="0"/>
        <w:autoSpaceDN w:val="0"/>
        <w:adjustRightInd w:val="0"/>
        <w:spacing w:before="400"/>
        <w:ind w:left="200"/>
        <w:rPr>
          <w:rFonts w:cstheme="minorHAnsi"/>
          <w:b/>
          <w:bCs/>
          <w:color w:val="000000" w:themeColor="text1"/>
        </w:rPr>
      </w:pPr>
      <w:r w:rsidRPr="00A5086E">
        <w:rPr>
          <w:rFonts w:cstheme="minorHAnsi"/>
          <w:b/>
          <w:bCs/>
          <w:color w:val="000000" w:themeColor="text1"/>
        </w:rPr>
        <w:t>A. Arguments by Amici Curiae</w:t>
      </w:r>
    </w:p>
    <w:p w:rsidR="00793CB5" w:rsidRPr="00A5086E" w:rsidRDefault="00A82B37" w:rsidP="00793CB5">
      <w:pPr>
        <w:widowControl w:val="0"/>
        <w:autoSpaceDE w:val="0"/>
        <w:autoSpaceDN w:val="0"/>
        <w:adjustRightInd w:val="0"/>
        <w:jc w:val="both"/>
        <w:rPr>
          <w:rFonts w:cstheme="minorHAnsi"/>
          <w:color w:val="000000" w:themeColor="text1"/>
        </w:rPr>
      </w:pPr>
      <w:hyperlink w:anchor="co_anchor_F32039349007_1" w:history="1">
        <w:r w:rsidR="00793CB5" w:rsidRPr="00A5086E">
          <w:rPr>
            <w:rFonts w:cstheme="minorHAnsi"/>
            <w:b/>
            <w:bCs/>
            <w:color w:val="000000" w:themeColor="text1"/>
            <w:vertAlign w:val="superscript"/>
          </w:rPr>
          <w:t>[3]</w:t>
        </w:r>
      </w:hyperlink>
      <w:bookmarkStart w:id="102" w:name="co_anchor_B32039349007_1"/>
      <w:bookmarkEnd w:id="102"/>
      <w:r w:rsidR="00793CB5" w:rsidRPr="00A5086E">
        <w:rPr>
          <w:rFonts w:cstheme="minorHAnsi"/>
          <w:color w:val="000000" w:themeColor="text1"/>
        </w:rPr>
        <w:t xml:space="preserve"> </w:t>
      </w:r>
      <w:hyperlink w:anchor="co_anchor_F42039349007_1" w:history="1">
        <w:r w:rsidR="00793CB5" w:rsidRPr="00A5086E">
          <w:rPr>
            <w:rFonts w:cstheme="minorHAnsi"/>
            <w:b/>
            <w:bCs/>
            <w:color w:val="000000" w:themeColor="text1"/>
            <w:vertAlign w:val="superscript"/>
          </w:rPr>
          <w:t>[4]</w:t>
        </w:r>
      </w:hyperlink>
      <w:bookmarkStart w:id="103" w:name="co_anchor_B42039349007_1"/>
      <w:bookmarkEnd w:id="103"/>
      <w:r w:rsidR="00793CB5" w:rsidRPr="00A5086E">
        <w:rPr>
          <w:rFonts w:cstheme="minorHAnsi"/>
          <w:color w:val="000000" w:themeColor="text1"/>
        </w:rPr>
        <w:t xml:space="preserve"> </w:t>
      </w:r>
      <w:hyperlink w:anchor="co_anchor_F52039349007_1" w:history="1">
        <w:r w:rsidR="00793CB5" w:rsidRPr="00A5086E">
          <w:rPr>
            <w:rFonts w:cstheme="minorHAnsi"/>
            <w:b/>
            <w:bCs/>
            <w:color w:val="000000" w:themeColor="text1"/>
            <w:vertAlign w:val="superscript"/>
          </w:rPr>
          <w:t>[5]</w:t>
        </w:r>
      </w:hyperlink>
      <w:bookmarkStart w:id="104" w:name="co_anchor_B52039349007_1"/>
      <w:bookmarkEnd w:id="104"/>
      <w:r w:rsidR="00793CB5" w:rsidRPr="00A5086E">
        <w:rPr>
          <w:rFonts w:cstheme="minorHAnsi"/>
          <w:color w:val="000000" w:themeColor="text1"/>
        </w:rPr>
        <w:t xml:space="preserve"> Initially, Ms. Rubin has objected to our consideration of amici’s arguments in her brief to this Court. (Ms. Rubin’s Amended Br. at 19.) Pursuant to </w:t>
      </w:r>
      <w:hyperlink r:id="rId108" w:history="1">
        <w:r w:rsidR="00793CB5" w:rsidRPr="00A5086E">
          <w:rPr>
            <w:rFonts w:cstheme="minorHAnsi"/>
            <w:color w:val="000000" w:themeColor="text1"/>
          </w:rPr>
          <w:t>Rule 531(a) of the Pennsylvania Rules of Appellate Procedure</w:t>
        </w:r>
      </w:hyperlink>
      <w:r w:rsidR="00793CB5" w:rsidRPr="00A5086E">
        <w:rPr>
          <w:rFonts w:cstheme="minorHAnsi"/>
          <w:color w:val="000000" w:themeColor="text1"/>
        </w:rPr>
        <w:t xml:space="preserve">, </w:t>
      </w:r>
      <w:hyperlink r:id="rId109" w:history="1">
        <w:r w:rsidR="00793CB5" w:rsidRPr="00A5086E">
          <w:rPr>
            <w:rFonts w:cstheme="minorHAnsi"/>
            <w:color w:val="000000" w:themeColor="text1"/>
          </w:rPr>
          <w:t>Pa. R.A.P. 531(a)</w:t>
        </w:r>
      </w:hyperlink>
      <w:r w:rsidR="00793CB5" w:rsidRPr="00A5086E">
        <w:rPr>
          <w:rFonts w:cstheme="minorHAnsi"/>
          <w:color w:val="000000" w:themeColor="text1"/>
        </w:rPr>
        <w:t>, “[a]</w:t>
      </w:r>
      <w:proofErr w:type="spellStart"/>
      <w:r w:rsidR="00793CB5" w:rsidRPr="00A5086E">
        <w:rPr>
          <w:rFonts w:cstheme="minorHAnsi"/>
          <w:color w:val="000000" w:themeColor="text1"/>
        </w:rPr>
        <w:t>nyone</w:t>
      </w:r>
      <w:proofErr w:type="spellEnd"/>
      <w:r w:rsidR="00793CB5" w:rsidRPr="00A5086E">
        <w:rPr>
          <w:rFonts w:cstheme="minorHAnsi"/>
          <w:color w:val="000000" w:themeColor="text1"/>
        </w:rPr>
        <w:t xml:space="preserve"> interested in the questions involved in any matter pending in an appellate court, ... although not a party, may, without applying for leave to do so, file a brief amicus curiae </w:t>
      </w:r>
      <w:r w:rsidR="00793CB5" w:rsidRPr="00A5086E">
        <w:rPr>
          <w:rFonts w:cstheme="minorHAnsi"/>
          <w:b/>
          <w:bCs/>
          <w:color w:val="000000" w:themeColor="text1"/>
        </w:rPr>
        <w:t>in regard to those questions.</w:t>
      </w:r>
      <w:r w:rsidR="00793CB5" w:rsidRPr="00A5086E">
        <w:rPr>
          <w:rFonts w:cstheme="minorHAnsi"/>
          <w:color w:val="000000" w:themeColor="text1"/>
        </w:rPr>
        <w:t xml:space="preserve">” (Emphasis added.) However, “amicus briefs cannot raise issues not set forth by the parties” and this Court cannot consider evidence that was never made part of the official record. </w:t>
      </w:r>
      <w:hyperlink r:id="rId110" w:anchor="co_pp_sp_7691_172" w:history="1">
        <w:r w:rsidR="00793CB5" w:rsidRPr="00A5086E">
          <w:rPr>
            <w:rFonts w:cstheme="minorHAnsi"/>
            <w:i/>
            <w:iCs/>
            <w:color w:val="000000" w:themeColor="text1"/>
          </w:rPr>
          <w:t>Banfield v. Cortés,</w:t>
        </w:r>
        <w:r w:rsidR="00793CB5" w:rsidRPr="00A5086E">
          <w:rPr>
            <w:rFonts w:cstheme="minorHAnsi"/>
            <w:color w:val="000000" w:themeColor="text1"/>
          </w:rPr>
          <w:t xml:space="preserve"> 631 Pa. 229, 110 A.3d 155, 172 n. 14 (2015)</w:t>
        </w:r>
      </w:hyperlink>
      <w:r w:rsidR="00793CB5" w:rsidRPr="00A5086E">
        <w:rPr>
          <w:rFonts w:cstheme="minorHAnsi"/>
          <w:color w:val="000000" w:themeColor="text1"/>
        </w:rPr>
        <w:t>.</w:t>
      </w:r>
      <w:bookmarkStart w:id="105" w:name="co_footnoteReference_B00882039349007_ID0"/>
      <w:bookmarkEnd w:id="105"/>
      <w:r w:rsidR="00793CB5" w:rsidRPr="00A5086E">
        <w:rPr>
          <w:rFonts w:cstheme="minorHAnsi"/>
          <w:color w:val="000000" w:themeColor="text1"/>
        </w:rPr>
        <w:fldChar w:fldCharType="begin"/>
      </w:r>
      <w:r w:rsidR="00793CB5" w:rsidRPr="00A5086E">
        <w:rPr>
          <w:rFonts w:cstheme="minorHAnsi"/>
          <w:color w:val="000000" w:themeColor="text1"/>
        </w:rPr>
        <w:instrText xml:space="preserve">HYPERLINK "#co_footnote_B00882039349007_1" </w:instrText>
      </w:r>
      <w:r w:rsidR="00793CB5" w:rsidRPr="00A5086E">
        <w:rPr>
          <w:rFonts w:cstheme="minorHAnsi"/>
          <w:color w:val="000000" w:themeColor="text1"/>
        </w:rPr>
        <w:fldChar w:fldCharType="separate"/>
      </w:r>
      <w:r w:rsidR="00793CB5" w:rsidRPr="00A5086E">
        <w:rPr>
          <w:rFonts w:cstheme="minorHAnsi"/>
          <w:color w:val="000000" w:themeColor="text1"/>
          <w:vertAlign w:val="superscript"/>
        </w:rPr>
        <w:t>8</w:t>
      </w:r>
      <w:r w:rsidR="00793CB5" w:rsidRPr="00A5086E">
        <w:rPr>
          <w:rFonts w:cstheme="minorHAnsi"/>
          <w:color w:val="000000" w:themeColor="text1"/>
        </w:rPr>
        <w:fldChar w:fldCharType="end"/>
      </w:r>
      <w:r w:rsidR="00793CB5" w:rsidRPr="00A5086E">
        <w:rPr>
          <w:rFonts w:cstheme="minorHAnsi"/>
          <w:color w:val="000000" w:themeColor="text1"/>
        </w:rPr>
        <w:t xml:space="preserve"> Much of amici’s arguments rely </w:t>
      </w:r>
      <w:bookmarkStart w:id="106" w:name="co_pp_sp_7691_486_1"/>
      <w:bookmarkEnd w:id="106"/>
      <w:r w:rsidR="00793CB5" w:rsidRPr="00A5086E">
        <w:rPr>
          <w:rFonts w:cstheme="minorHAnsi"/>
          <w:b/>
          <w:bCs/>
          <w:color w:val="000000" w:themeColor="text1"/>
        </w:rPr>
        <w:t>*486</w:t>
      </w:r>
      <w:r w:rsidR="00793CB5" w:rsidRPr="00A5086E">
        <w:rPr>
          <w:rFonts w:cstheme="minorHAnsi"/>
          <w:color w:val="000000" w:themeColor="text1"/>
        </w:rPr>
        <w:t xml:space="preserve"> on facts and raise issues that were not part of the record or set forth by the parties. Thus, we cannot consider amici’s arguments. However, this Court is mindful that those who reside in the 559 apartments in Kennedy House have an interest in their safety, security, and quiet possession of their home. (R.R. at 132.) One way the law tries to balance these competing interests is by requiring that an accommodation be reasonable as well as necessary.</w:t>
      </w:r>
      <w:bookmarkStart w:id="107" w:name="co_anchor_I8c153428bbe611e698dc8b09b4f04"/>
      <w:bookmarkEnd w:id="107"/>
    </w:p>
    <w:p w:rsidR="00793CB5" w:rsidRPr="00A5086E" w:rsidRDefault="00793CB5" w:rsidP="00793CB5">
      <w:pPr>
        <w:widowControl w:val="0"/>
        <w:autoSpaceDE w:val="0"/>
        <w:autoSpaceDN w:val="0"/>
        <w:adjustRightInd w:val="0"/>
        <w:spacing w:before="400"/>
        <w:ind w:left="200"/>
        <w:rPr>
          <w:rFonts w:cstheme="minorHAnsi"/>
          <w:b/>
          <w:bCs/>
          <w:color w:val="000000" w:themeColor="text1"/>
        </w:rPr>
      </w:pPr>
      <w:r w:rsidRPr="00A5086E">
        <w:rPr>
          <w:rFonts w:cstheme="minorHAnsi"/>
          <w:b/>
          <w:bCs/>
          <w:color w:val="000000" w:themeColor="text1"/>
        </w:rPr>
        <w:t>B. Kennedy House’s Appeal</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parties have narrowed the issues that are actually before us. Kennedy House does not dispute that Ms. Rubin is disabled within the meaning of the Ordinance, that the relevant provisions of the FHA apply, that refusing to sell the unit to Ms. Rubin due to her disability would violate the Ordinance, and that Kennedy House is required by the Ordinance to offer Ms. Rubin a reasonable accommodation prior to denying her application if such accommodation is “necessary to afford [Ms. Rubin] equal opportunity to use and enjoy a dwelling.” </w:t>
      </w:r>
      <w:hyperlink r:id="rId111" w:anchor="co_pp_6deb0000dc6a3" w:history="1">
        <w:r w:rsidRPr="00A5086E">
          <w:rPr>
            <w:rFonts w:cstheme="minorHAnsi"/>
            <w:color w:val="000000" w:themeColor="text1"/>
          </w:rPr>
          <w:t>42 U.S.C. § 3604(f)(3)(B)</w:t>
        </w:r>
      </w:hyperlink>
      <w:r w:rsidRPr="00A5086E">
        <w:rPr>
          <w:rFonts w:cstheme="minorHAnsi"/>
          <w:color w:val="000000" w:themeColor="text1"/>
        </w:rPr>
        <w:t xml:space="preserve">. The dispute centers on two questions: (1) whether Ms. Rubin established that the requested accommodation was </w:t>
      </w:r>
      <w:r w:rsidRPr="00A5086E">
        <w:rPr>
          <w:rFonts w:cstheme="minorHAnsi"/>
          <w:b/>
          <w:bCs/>
          <w:color w:val="000000" w:themeColor="text1"/>
        </w:rPr>
        <w:t>necessary</w:t>
      </w:r>
      <w:r w:rsidRPr="00A5086E">
        <w:rPr>
          <w:rFonts w:cstheme="minorHAnsi"/>
          <w:color w:val="000000" w:themeColor="text1"/>
        </w:rPr>
        <w:t xml:space="preserve"> to provide her with an equal opportunity to use and enjoy the unit, that is, whether there is a sufficient nexus between her disability and the assistance provided by her dog; and (2) whether the Commission’s findings are supported by </w:t>
      </w:r>
      <w:r w:rsidRPr="00A5086E">
        <w:rPr>
          <w:rFonts w:cstheme="minorHAnsi"/>
          <w:color w:val="000000" w:themeColor="text1"/>
        </w:rPr>
        <w:lastRenderedPageBreak/>
        <w:t>substantial evidence.</w:t>
      </w:r>
      <w:bookmarkStart w:id="108" w:name="co_anchor_I8c153429bbe611e698dc8b09b4f04"/>
      <w:bookmarkEnd w:id="108"/>
    </w:p>
    <w:p w:rsidR="00793CB5" w:rsidRPr="00A5086E" w:rsidRDefault="00793CB5" w:rsidP="00793CB5">
      <w:pPr>
        <w:widowControl w:val="0"/>
        <w:autoSpaceDE w:val="0"/>
        <w:autoSpaceDN w:val="0"/>
        <w:adjustRightInd w:val="0"/>
        <w:spacing w:before="600"/>
        <w:jc w:val="center"/>
        <w:rPr>
          <w:rFonts w:cstheme="minorHAnsi"/>
          <w:b/>
          <w:bCs/>
          <w:color w:val="000000" w:themeColor="text1"/>
        </w:rPr>
      </w:pPr>
      <w:r w:rsidRPr="00A5086E">
        <w:rPr>
          <w:rFonts w:cstheme="minorHAnsi"/>
          <w:b/>
          <w:bCs/>
          <w:color w:val="000000" w:themeColor="text1"/>
        </w:rPr>
        <w:t>1. Whether the accommodation is necessary.</w:t>
      </w:r>
    </w:p>
    <w:p w:rsidR="00793CB5" w:rsidRPr="00A5086E" w:rsidRDefault="00A82B37" w:rsidP="00793CB5">
      <w:pPr>
        <w:widowControl w:val="0"/>
        <w:autoSpaceDE w:val="0"/>
        <w:autoSpaceDN w:val="0"/>
        <w:adjustRightInd w:val="0"/>
        <w:jc w:val="both"/>
        <w:rPr>
          <w:rFonts w:cstheme="minorHAnsi"/>
          <w:color w:val="000000" w:themeColor="text1"/>
        </w:rPr>
      </w:pPr>
      <w:hyperlink w:anchor="co_anchor_F62039349007_1" w:history="1">
        <w:r w:rsidR="00793CB5" w:rsidRPr="00A5086E">
          <w:rPr>
            <w:rFonts w:cstheme="minorHAnsi"/>
            <w:b/>
            <w:bCs/>
            <w:color w:val="000000" w:themeColor="text1"/>
            <w:vertAlign w:val="superscript"/>
          </w:rPr>
          <w:t>[6]</w:t>
        </w:r>
      </w:hyperlink>
      <w:bookmarkStart w:id="109" w:name="co_anchor_B62039349007_1"/>
      <w:bookmarkEnd w:id="109"/>
      <w:r w:rsidR="00793CB5" w:rsidRPr="00A5086E">
        <w:rPr>
          <w:rFonts w:cstheme="minorHAnsi"/>
          <w:color w:val="000000" w:themeColor="text1"/>
        </w:rPr>
        <w:t xml:space="preserve"> </w:t>
      </w:r>
      <w:hyperlink w:anchor="co_anchor_F72039349007_1" w:history="1">
        <w:r w:rsidR="00793CB5" w:rsidRPr="00A5086E">
          <w:rPr>
            <w:rFonts w:cstheme="minorHAnsi"/>
            <w:b/>
            <w:bCs/>
            <w:color w:val="000000" w:themeColor="text1"/>
            <w:vertAlign w:val="superscript"/>
          </w:rPr>
          <w:t>[7]</w:t>
        </w:r>
      </w:hyperlink>
      <w:bookmarkStart w:id="110" w:name="co_anchor_B72039349007_1"/>
      <w:bookmarkEnd w:id="110"/>
      <w:r w:rsidR="00793CB5" w:rsidRPr="00A5086E">
        <w:rPr>
          <w:rFonts w:cstheme="minorHAnsi"/>
          <w:color w:val="000000" w:themeColor="text1"/>
        </w:rPr>
        <w:t xml:space="preserve"> </w:t>
      </w:r>
      <w:hyperlink w:anchor="co_anchor_F82039349007_1" w:history="1">
        <w:r w:rsidR="00793CB5" w:rsidRPr="00A5086E">
          <w:rPr>
            <w:rFonts w:cstheme="minorHAnsi"/>
            <w:b/>
            <w:bCs/>
            <w:color w:val="000000" w:themeColor="text1"/>
            <w:vertAlign w:val="superscript"/>
          </w:rPr>
          <w:t>[8]</w:t>
        </w:r>
      </w:hyperlink>
      <w:bookmarkStart w:id="111" w:name="co_anchor_B82039349007_1"/>
      <w:bookmarkEnd w:id="111"/>
      <w:r w:rsidR="00793CB5" w:rsidRPr="00A5086E">
        <w:rPr>
          <w:rFonts w:cstheme="minorHAnsi"/>
          <w:color w:val="000000" w:themeColor="text1"/>
        </w:rPr>
        <w:t xml:space="preserve"> The FHA requires that an accommodation be offered to persons with disabilities if the accommodation “is (1) reasonable and (2) necessary to (3) afford [disabled] persons an equal opportunity to use and enjoy housing.” </w:t>
      </w:r>
      <w:hyperlink r:id="rId112" w:anchor="co_pp_sp_506_457" w:history="1">
        <w:proofErr w:type="spellStart"/>
        <w:r w:rsidR="00793CB5" w:rsidRPr="00A5086E">
          <w:rPr>
            <w:rFonts w:cstheme="minorHAnsi"/>
            <w:i/>
            <w:iCs/>
            <w:color w:val="000000" w:themeColor="text1"/>
          </w:rPr>
          <w:t>Lapid</w:t>
        </w:r>
        <w:proofErr w:type="spellEnd"/>
        <w:r w:rsidR="00793CB5" w:rsidRPr="00A5086E">
          <w:rPr>
            <w:rFonts w:cstheme="minorHAnsi"/>
            <w:i/>
            <w:iCs/>
            <w:color w:val="000000" w:themeColor="text1"/>
          </w:rPr>
          <w:t>–Laurel,</w:t>
        </w:r>
        <w:r w:rsidR="00793CB5" w:rsidRPr="00A5086E">
          <w:rPr>
            <w:rFonts w:cstheme="minorHAnsi"/>
            <w:color w:val="000000" w:themeColor="text1"/>
          </w:rPr>
          <w:t xml:space="preserve"> 284 F.3d at 457</w:t>
        </w:r>
      </w:hyperlink>
      <w:r w:rsidR="00793CB5" w:rsidRPr="00A5086E">
        <w:rPr>
          <w:rFonts w:cstheme="minorHAnsi"/>
          <w:color w:val="000000" w:themeColor="text1"/>
        </w:rPr>
        <w:t xml:space="preserve"> (quoting </w:t>
      </w:r>
      <w:hyperlink r:id="rId113" w:anchor="co_pp_sp_506_603" w:history="1">
        <w:r w:rsidR="00793CB5" w:rsidRPr="00A5086E">
          <w:rPr>
            <w:rFonts w:cstheme="minorHAnsi"/>
            <w:i/>
            <w:iCs/>
            <w:color w:val="000000" w:themeColor="text1"/>
          </w:rPr>
          <w:t xml:space="preserve">Bryant Woods Inn, Inc. v. Howard </w:t>
        </w:r>
        <w:proofErr w:type="spellStart"/>
        <w:r w:rsidR="00793CB5" w:rsidRPr="00A5086E">
          <w:rPr>
            <w:rFonts w:cstheme="minorHAnsi"/>
            <w:i/>
            <w:iCs/>
            <w:color w:val="000000" w:themeColor="text1"/>
          </w:rPr>
          <w:t>Cty</w:t>
        </w:r>
        <w:proofErr w:type="spellEnd"/>
        <w:r w:rsidR="00793CB5" w:rsidRPr="00A5086E">
          <w:rPr>
            <w:rFonts w:cstheme="minorHAnsi"/>
            <w:i/>
            <w:iCs/>
            <w:color w:val="000000" w:themeColor="text1"/>
          </w:rPr>
          <w:t>., Md.,</w:t>
        </w:r>
        <w:r w:rsidR="00793CB5" w:rsidRPr="00A5086E">
          <w:rPr>
            <w:rFonts w:cstheme="minorHAnsi"/>
            <w:color w:val="000000" w:themeColor="text1"/>
          </w:rPr>
          <w:t xml:space="preserve"> 124 F.3d 597, 603 (4th Cir.1997)</w:t>
        </w:r>
      </w:hyperlink>
      <w:r w:rsidR="00793CB5" w:rsidRPr="00A5086E">
        <w:rPr>
          <w:rFonts w:cstheme="minorHAnsi"/>
          <w:color w:val="000000" w:themeColor="text1"/>
        </w:rPr>
        <w:t xml:space="preserve">). Federal courts have interpreted the necessary requirement of the FHA as “meaning that, without the accommodation, the [complainant] will be denied an equal opportunity to obtain the housing of her choice.” </w:t>
      </w:r>
      <w:hyperlink r:id="rId114" w:anchor="co_pp_sp_506_749" w:history="1">
        <w:r w:rsidR="00793CB5" w:rsidRPr="00A5086E">
          <w:rPr>
            <w:rFonts w:cstheme="minorHAnsi"/>
            <w:i/>
            <w:iCs/>
            <w:color w:val="000000" w:themeColor="text1"/>
          </w:rPr>
          <w:t xml:space="preserve">Wisconsin </w:t>
        </w:r>
        <w:proofErr w:type="spellStart"/>
        <w:r w:rsidR="00793CB5" w:rsidRPr="00A5086E">
          <w:rPr>
            <w:rFonts w:cstheme="minorHAnsi"/>
            <w:i/>
            <w:iCs/>
            <w:color w:val="000000" w:themeColor="text1"/>
          </w:rPr>
          <w:t>Cmty</w:t>
        </w:r>
        <w:proofErr w:type="spellEnd"/>
        <w:r w:rsidR="00793CB5" w:rsidRPr="00A5086E">
          <w:rPr>
            <w:rFonts w:cstheme="minorHAnsi"/>
            <w:i/>
            <w:iCs/>
            <w:color w:val="000000" w:themeColor="text1"/>
          </w:rPr>
          <w:t>. Servs.,</w:t>
        </w:r>
        <w:r w:rsidR="00793CB5" w:rsidRPr="00A5086E">
          <w:rPr>
            <w:rFonts w:cstheme="minorHAnsi"/>
            <w:color w:val="000000" w:themeColor="text1"/>
          </w:rPr>
          <w:t xml:space="preserve"> 465 F.3d at 749</w:t>
        </w:r>
      </w:hyperlink>
      <w:r w:rsidR="00793CB5" w:rsidRPr="00A5086E">
        <w:rPr>
          <w:rFonts w:cstheme="minorHAnsi"/>
          <w:color w:val="000000" w:themeColor="text1"/>
        </w:rPr>
        <w:t xml:space="preserve">; </w:t>
      </w:r>
      <w:r w:rsidR="00793CB5" w:rsidRPr="00A5086E">
        <w:rPr>
          <w:rFonts w:cstheme="minorHAnsi"/>
          <w:i/>
          <w:iCs/>
          <w:color w:val="000000" w:themeColor="text1"/>
        </w:rPr>
        <w:t xml:space="preserve">see also </w:t>
      </w:r>
      <w:hyperlink r:id="rId115" w:anchor="co_pp_sp_506_795" w:history="1">
        <w:r w:rsidR="00793CB5" w:rsidRPr="00A5086E">
          <w:rPr>
            <w:rFonts w:cstheme="minorHAnsi"/>
            <w:i/>
            <w:iCs/>
            <w:color w:val="000000" w:themeColor="text1"/>
          </w:rPr>
          <w:t>Smith &amp; Lee Assoc., Inc. v. City of Taylor, Mich.,</w:t>
        </w:r>
        <w:r w:rsidR="00793CB5" w:rsidRPr="00A5086E">
          <w:rPr>
            <w:rFonts w:cstheme="minorHAnsi"/>
            <w:color w:val="000000" w:themeColor="text1"/>
          </w:rPr>
          <w:t xml:space="preserve"> 102 F.3d 781, 795 (6th Cir.1996)</w:t>
        </w:r>
      </w:hyperlink>
      <w:r w:rsidR="00793CB5" w:rsidRPr="00A5086E">
        <w:rPr>
          <w:rFonts w:cstheme="minorHAnsi"/>
          <w:color w:val="000000" w:themeColor="text1"/>
        </w:rPr>
        <w:t xml:space="preserve"> (holding that complainants “must show that, but for the accommodation, they likely will be denied an equal opportunity to enjoy the housing of their choice”). In other words, in order to satisfy the necessary element of the FHA, a complainant must demonstrate “a direct linkage between the proposed accommodation and the ‘equal opportunity’ to be provided....” </w:t>
      </w:r>
      <w:hyperlink r:id="rId116" w:anchor="co_pp_sp_506_604" w:history="1">
        <w:r w:rsidR="00793CB5" w:rsidRPr="00A5086E">
          <w:rPr>
            <w:rFonts w:cstheme="minorHAnsi"/>
            <w:i/>
            <w:iCs/>
            <w:color w:val="000000" w:themeColor="text1"/>
          </w:rPr>
          <w:t>Bryant Woods Inn,</w:t>
        </w:r>
        <w:r w:rsidR="00793CB5" w:rsidRPr="00A5086E">
          <w:rPr>
            <w:rFonts w:cstheme="minorHAnsi"/>
            <w:color w:val="000000" w:themeColor="text1"/>
          </w:rPr>
          <w:t xml:space="preserve"> 124 F.3d at 604</w:t>
        </w:r>
      </w:hyperlink>
      <w:r w:rsidR="00793CB5" w:rsidRPr="00A5086E">
        <w:rPr>
          <w:rFonts w:cstheme="minorHAnsi"/>
          <w:color w:val="000000" w:themeColor="text1"/>
        </w:rPr>
        <w:t xml:space="preserve">. “[I]f the proposed accommodation provides </w:t>
      </w:r>
      <w:r w:rsidR="00793CB5" w:rsidRPr="00A5086E">
        <w:rPr>
          <w:rFonts w:cstheme="minorHAnsi"/>
          <w:b/>
          <w:bCs/>
          <w:color w:val="000000" w:themeColor="text1"/>
        </w:rPr>
        <w:t>no direct amelioration of a disability’s effect,</w:t>
      </w:r>
      <w:r w:rsidR="00793CB5" w:rsidRPr="00A5086E">
        <w:rPr>
          <w:rFonts w:cstheme="minorHAnsi"/>
          <w:color w:val="000000" w:themeColor="text1"/>
        </w:rPr>
        <w:t xml:space="preserve"> it cannot be said to be ‘necessary.</w:t>
      </w:r>
      <w:proofErr w:type="gramStart"/>
      <w:r w:rsidR="00793CB5" w:rsidRPr="00A5086E">
        <w:rPr>
          <w:rFonts w:cstheme="minorHAnsi"/>
          <w:color w:val="000000" w:themeColor="text1"/>
        </w:rPr>
        <w:t>’ ”</w:t>
      </w:r>
      <w:proofErr w:type="gramEnd"/>
      <w:r w:rsidR="00793CB5" w:rsidRPr="00A5086E">
        <w:rPr>
          <w:rFonts w:cstheme="minorHAnsi"/>
          <w:color w:val="000000" w:themeColor="text1"/>
        </w:rPr>
        <w:t xml:space="preserve"> </w:t>
      </w:r>
      <w:r w:rsidR="00793CB5" w:rsidRPr="00A5086E">
        <w:rPr>
          <w:rFonts w:cstheme="minorHAnsi"/>
          <w:i/>
          <w:iCs/>
          <w:color w:val="000000" w:themeColor="text1"/>
        </w:rPr>
        <w:t>Id.</w:t>
      </w:r>
      <w:r w:rsidR="00793CB5" w:rsidRPr="00A5086E">
        <w:rPr>
          <w:rFonts w:cstheme="minorHAnsi"/>
          <w:color w:val="000000" w:themeColor="text1"/>
        </w:rPr>
        <w:t xml:space="preserve"> (emphasis added).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As it relates to whether the use of an animal to assist with a disability is a reasonable accommodation, HUD issued an </w:t>
      </w:r>
      <w:bookmarkStart w:id="112" w:name="co_pp_sp_7691_487_1"/>
      <w:bookmarkEnd w:id="112"/>
      <w:r w:rsidRPr="00A5086E">
        <w:rPr>
          <w:rFonts w:cstheme="minorHAnsi"/>
          <w:b/>
          <w:bCs/>
          <w:color w:val="000000" w:themeColor="text1"/>
        </w:rPr>
        <w:t>*487</w:t>
      </w:r>
      <w:r w:rsidRPr="00A5086E">
        <w:rPr>
          <w:rFonts w:cstheme="minorHAnsi"/>
          <w:color w:val="000000" w:themeColor="text1"/>
        </w:rPr>
        <w:t xml:space="preserve"> interpretative rule in October of 2009 that states:</w:t>
      </w:r>
    </w:p>
    <w:p w:rsidR="00793CB5" w:rsidRPr="00A5086E" w:rsidRDefault="00793CB5" w:rsidP="00793CB5">
      <w:pPr>
        <w:widowControl w:val="0"/>
        <w:autoSpaceDE w:val="0"/>
        <w:autoSpaceDN w:val="0"/>
        <w:adjustRightInd w:val="0"/>
        <w:spacing w:before="250"/>
        <w:ind w:left="1000" w:right="800"/>
        <w:jc w:val="both"/>
        <w:rPr>
          <w:rFonts w:cstheme="minorHAnsi"/>
          <w:color w:val="000000" w:themeColor="text1"/>
        </w:rPr>
      </w:pPr>
      <w:r w:rsidRPr="00A5086E">
        <w:rPr>
          <w:rFonts w:cstheme="minorHAnsi"/>
          <w:color w:val="000000" w:themeColor="text1"/>
        </w:rPr>
        <w:t xml:space="preserve">in the case of assistance/service animals, </w:t>
      </w:r>
      <w:r w:rsidRPr="00A5086E">
        <w:rPr>
          <w:rFonts w:cstheme="minorHAnsi"/>
          <w:b/>
          <w:bCs/>
          <w:color w:val="000000" w:themeColor="text1"/>
        </w:rPr>
        <w:t>an individual with a disability must demonstrate a nexus between his or her disability and the function the service animal provides.</w:t>
      </w:r>
      <w:r w:rsidRPr="00A5086E">
        <w:rPr>
          <w:rFonts w:cstheme="minorHAnsi"/>
          <w:color w:val="000000" w:themeColor="text1"/>
        </w:rPr>
        <w:t xml:space="preserve"> The Department’s position has been that animals necessary as a reasonable accommodation do not necessarily need to have specialized training. Some animals perform tasks that require training, and others provide assistance that does not require training.</w:t>
      </w:r>
    </w:p>
    <w:p w:rsidR="00793CB5" w:rsidRPr="00A5086E" w:rsidRDefault="00A82B37" w:rsidP="00793CB5">
      <w:pPr>
        <w:widowControl w:val="0"/>
        <w:autoSpaceDE w:val="0"/>
        <w:autoSpaceDN w:val="0"/>
        <w:adjustRightInd w:val="0"/>
        <w:spacing w:before="200"/>
        <w:jc w:val="both"/>
        <w:rPr>
          <w:rFonts w:cstheme="minorHAnsi"/>
          <w:color w:val="000000" w:themeColor="text1"/>
        </w:rPr>
      </w:pPr>
      <w:hyperlink r:id="rId117" w:anchor="co_pp_sp_1037_63834" w:history="1">
        <w:r w:rsidR="00793CB5" w:rsidRPr="00A5086E">
          <w:rPr>
            <w:rFonts w:cstheme="minorHAnsi"/>
            <w:color w:val="000000" w:themeColor="text1"/>
          </w:rPr>
          <w:t xml:space="preserve">Pet Ownership for the Elderly and Persons </w:t>
        </w:r>
        <w:proofErr w:type="gramStart"/>
        <w:r w:rsidR="00793CB5" w:rsidRPr="00A5086E">
          <w:rPr>
            <w:rFonts w:cstheme="minorHAnsi"/>
            <w:color w:val="000000" w:themeColor="text1"/>
          </w:rPr>
          <w:t>With</w:t>
        </w:r>
        <w:proofErr w:type="gramEnd"/>
        <w:r w:rsidR="00793CB5" w:rsidRPr="00A5086E">
          <w:rPr>
            <w:rFonts w:cstheme="minorHAnsi"/>
            <w:color w:val="000000" w:themeColor="text1"/>
          </w:rPr>
          <w:t xml:space="preserve"> Disabilities, 73 FR 63834–01 (HUD Interpretive Rule)</w:t>
        </w:r>
      </w:hyperlink>
      <w:r w:rsidR="00793CB5" w:rsidRPr="00A5086E">
        <w:rPr>
          <w:rFonts w:cstheme="minorHAnsi"/>
          <w:color w:val="000000" w:themeColor="text1"/>
        </w:rPr>
        <w:t xml:space="preserve"> (emphasis added). HUD further explained the obligations of housing providers in a 2013 notice to its regional and field offices where it stated:</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The reasonable accommodation provisions of [the FHA and HUD’s regulations] must be considered in situations where persons with disabilities use (or seek to use) assistance animals in housing where the provider forbids residents from having pets or otherwise imposes restrictions or conditions relating to pets and other animals.</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b/>
          <w:bCs/>
          <w:color w:val="000000" w:themeColor="text1"/>
        </w:rPr>
        <w:t>An assistance animal is not a pet.</w:t>
      </w:r>
      <w:r w:rsidRPr="00A5086E">
        <w:rPr>
          <w:rFonts w:cstheme="minorHAnsi"/>
          <w:color w:val="000000" w:themeColor="text1"/>
        </w:rPr>
        <w:t xml:space="preserve"> It is an animal that works, provides assistance, or performs tasks for the benefit of a person with a disability, or provides emotional support that alleviates one or more identified symptoms or effects of a person’s disability. Assistance animals perform many disability-related functions, including but not limited to, guiding individuals who are blind or have low vision, alerting individuals who are deaf or hard of hearing to sounds, providing protection or rescue assistance, pulling a wheelchair, fetching items, alerting persons to impending seizures, or providing emotional support to persons with disabilities who have a disability-related need for such support. For purposes of reasonable accommodation requests, neither the [FHA] nor [HUD’s regulations] requires an assistance animal to be individually trained or certified. While dogs are the most common type of assistance animal, other animals can also be assistance animals....</w:t>
      </w:r>
    </w:p>
    <w:p w:rsidR="00793CB5" w:rsidRPr="00A5086E" w:rsidRDefault="00793CB5" w:rsidP="00793CB5">
      <w:pPr>
        <w:widowControl w:val="0"/>
        <w:autoSpaceDE w:val="0"/>
        <w:autoSpaceDN w:val="0"/>
        <w:adjustRightInd w:val="0"/>
        <w:spacing w:before="200"/>
        <w:ind w:left="200"/>
        <w:jc w:val="both"/>
        <w:rPr>
          <w:rFonts w:cstheme="minorHAnsi"/>
          <w:b/>
          <w:bCs/>
          <w:color w:val="000000" w:themeColor="text1"/>
        </w:rPr>
      </w:pPr>
      <w:r w:rsidRPr="00A5086E">
        <w:rPr>
          <w:rFonts w:cstheme="minorHAnsi"/>
          <w:color w:val="000000" w:themeColor="text1"/>
        </w:rPr>
        <w:lastRenderedPageBreak/>
        <w:t xml:space="preserve">Housing providers may ask individuals who have disabilities that are not readily apparent or known to the provider to submit </w:t>
      </w:r>
      <w:r w:rsidRPr="00A5086E">
        <w:rPr>
          <w:rFonts w:cstheme="minorHAnsi"/>
          <w:b/>
          <w:bCs/>
          <w:color w:val="000000" w:themeColor="text1"/>
        </w:rPr>
        <w:t>reliable documentation of a disability and their disability-related need for an assistance animal.</w:t>
      </w:r>
    </w:p>
    <w:p w:rsidR="00793CB5" w:rsidRPr="00A5086E" w:rsidRDefault="00793CB5" w:rsidP="00793CB5">
      <w:pPr>
        <w:widowControl w:val="0"/>
        <w:autoSpaceDE w:val="0"/>
        <w:autoSpaceDN w:val="0"/>
        <w:adjustRightInd w:val="0"/>
        <w:spacing w:before="200"/>
        <w:jc w:val="both"/>
        <w:rPr>
          <w:rFonts w:cstheme="minorHAnsi"/>
          <w:color w:val="000000" w:themeColor="text1"/>
        </w:rPr>
      </w:pPr>
      <w:r w:rsidRPr="00A5086E">
        <w:rPr>
          <w:rFonts w:cstheme="minorHAnsi"/>
          <w:color w:val="000000" w:themeColor="text1"/>
        </w:rPr>
        <w:t xml:space="preserve">Service Animals and Assistance Animals for People with Disabilities in Housing and HUD–Funded Programs, HUD Fair Housing and Equal Opportunity </w:t>
      </w:r>
      <w:hyperlink r:id="rId118" w:history="1">
        <w:r w:rsidRPr="00A5086E">
          <w:rPr>
            <w:rFonts w:cstheme="minorHAnsi"/>
            <w:color w:val="000000" w:themeColor="text1"/>
          </w:rPr>
          <w:t>Notice 2013–01 (HUD Notice)</w:t>
        </w:r>
      </w:hyperlink>
      <w:r w:rsidRPr="00A5086E">
        <w:rPr>
          <w:rFonts w:cstheme="minorHAnsi"/>
          <w:color w:val="000000" w:themeColor="text1"/>
        </w:rPr>
        <w:t xml:space="preserve"> at 2–3 (emphasis added).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Kennedy House argues that Ms. Rubin has not demonstrated a sufficient nexus between Mira and Ms. Rubin’s disability. Kennedy House asserts that the services Mira provides to Ms. Rubin may alleviate a psychological disability, about which there is no medical documentation and Ms. Rubin has stated she does not have, but Mira does not alleviate Ms. Rubin’s documented disability related to her mobility. In support of its argument, Kennedy House first cites to </w:t>
      </w:r>
      <w:hyperlink r:id="rId119" w:history="1">
        <w:r w:rsidRPr="00A5086E">
          <w:rPr>
            <w:rFonts w:cstheme="minorHAnsi"/>
            <w:i/>
            <w:iCs/>
            <w:color w:val="000000" w:themeColor="text1"/>
          </w:rPr>
          <w:t xml:space="preserve">Smith v. </w:t>
        </w:r>
        <w:proofErr w:type="spellStart"/>
        <w:r w:rsidRPr="00A5086E">
          <w:rPr>
            <w:rFonts w:cstheme="minorHAnsi"/>
            <w:i/>
            <w:iCs/>
            <w:color w:val="000000" w:themeColor="text1"/>
          </w:rPr>
          <w:t>Powdrill</w:t>
        </w:r>
        <w:proofErr w:type="spellEnd"/>
        <w:r w:rsidRPr="00A5086E">
          <w:rPr>
            <w:rFonts w:cstheme="minorHAnsi"/>
            <w:i/>
            <w:iCs/>
            <w:color w:val="000000" w:themeColor="text1"/>
          </w:rPr>
          <w:t>,</w:t>
        </w:r>
        <w:r w:rsidRPr="00A5086E">
          <w:rPr>
            <w:rFonts w:cstheme="minorHAnsi"/>
            <w:color w:val="000000" w:themeColor="text1"/>
          </w:rPr>
          <w:t xml:space="preserve"> No. CV 12–06388 DDP RZX, 2013 WL 5786586, at *6 (</w:t>
        </w:r>
        <w:proofErr w:type="spellStart"/>
        <w:r w:rsidRPr="00A5086E">
          <w:rPr>
            <w:rFonts w:cstheme="minorHAnsi"/>
            <w:color w:val="000000" w:themeColor="text1"/>
          </w:rPr>
          <w:t>C.D.Cal</w:t>
        </w:r>
        <w:proofErr w:type="spellEnd"/>
        <w:r w:rsidRPr="00A5086E">
          <w:rPr>
            <w:rFonts w:cstheme="minorHAnsi"/>
            <w:color w:val="000000" w:themeColor="text1"/>
          </w:rPr>
          <w:t>. Oct. 28, 2013)</w:t>
        </w:r>
      </w:hyperlink>
      <w:r w:rsidRPr="00A5086E">
        <w:rPr>
          <w:rFonts w:cstheme="minorHAnsi"/>
          <w:color w:val="000000" w:themeColor="text1"/>
        </w:rPr>
        <w:t xml:space="preserve">, involving a claim under the FHA where the complainant sought a waiver of the defendant’s no-pet rule as an accommodation for her disability. As in this case, the complainant there asserted that her companion dog helped her keep “a regular routine of caring for [her]self, motivates [her] to get out of bed, clean, maintain relationships with friends and family, and to exercise.” </w:t>
      </w:r>
      <w:r w:rsidRPr="00A5086E">
        <w:rPr>
          <w:rFonts w:cstheme="minorHAnsi"/>
          <w:i/>
          <w:iCs/>
          <w:color w:val="000000" w:themeColor="text1"/>
        </w:rPr>
        <w:t>Id.</w:t>
      </w:r>
      <w:r w:rsidRPr="00A5086E">
        <w:rPr>
          <w:rFonts w:cstheme="minorHAnsi"/>
          <w:color w:val="000000" w:themeColor="text1"/>
        </w:rPr>
        <w:t xml:space="preserve"> at *1. However, the complainant there suffered from various </w:t>
      </w:r>
      <w:hyperlink r:id="rId120" w:history="1">
        <w:r w:rsidRPr="00A5086E">
          <w:rPr>
            <w:rFonts w:cstheme="minorHAnsi"/>
            <w:b/>
            <w:bCs/>
            <w:color w:val="000000" w:themeColor="text1"/>
          </w:rPr>
          <w:t xml:space="preserve">mental </w:t>
        </w:r>
        <w:bookmarkStart w:id="113" w:name="co_pp_sp_7691_488_1"/>
        <w:bookmarkEnd w:id="113"/>
        <w:r w:rsidRPr="00A5086E">
          <w:rPr>
            <w:rFonts w:cstheme="minorHAnsi"/>
            <w:b/>
            <w:bCs/>
            <w:color w:val="000000" w:themeColor="text1"/>
          </w:rPr>
          <w:t>*488 disabilities</w:t>
        </w:r>
      </w:hyperlink>
      <w:r w:rsidRPr="00A5086E">
        <w:rPr>
          <w:rFonts w:cstheme="minorHAnsi"/>
          <w:color w:val="000000" w:themeColor="text1"/>
        </w:rPr>
        <w:t xml:space="preserve"> that inhibited her “ability to take care of herself, get out of bed, interact with others and remain focused.” </w:t>
      </w:r>
      <w:r w:rsidRPr="00A5086E">
        <w:rPr>
          <w:rFonts w:cstheme="minorHAnsi"/>
          <w:i/>
          <w:iCs/>
          <w:color w:val="000000" w:themeColor="text1"/>
        </w:rPr>
        <w:t>Id.</w:t>
      </w:r>
      <w:r w:rsidRPr="00A5086E">
        <w:rPr>
          <w:rFonts w:cstheme="minorHAnsi"/>
          <w:color w:val="000000" w:themeColor="text1"/>
        </w:rPr>
        <w:t xml:space="preserve"> at *5. The complainant’s psychiatrist wrote a letter to the defendants requesting an exception to the no-pet rule and informed the defendants that “[d]</w:t>
      </w:r>
      <w:proofErr w:type="spellStart"/>
      <w:r w:rsidRPr="00A5086E">
        <w:rPr>
          <w:rFonts w:cstheme="minorHAnsi"/>
          <w:color w:val="000000" w:themeColor="text1"/>
        </w:rPr>
        <w:t>ue</w:t>
      </w:r>
      <w:proofErr w:type="spellEnd"/>
      <w:r w:rsidRPr="00A5086E">
        <w:rPr>
          <w:rFonts w:cstheme="minorHAnsi"/>
          <w:color w:val="000000" w:themeColor="text1"/>
        </w:rPr>
        <w:t xml:space="preserve"> to [the complainant]’s psychiatric condition, having a companion animal would be ... necessary for her continued stabilization.” </w:t>
      </w:r>
      <w:r w:rsidRPr="00A5086E">
        <w:rPr>
          <w:rFonts w:cstheme="minorHAnsi"/>
          <w:i/>
          <w:iCs/>
          <w:color w:val="000000" w:themeColor="text1"/>
        </w:rPr>
        <w:t>Id.</w:t>
      </w:r>
      <w:r w:rsidRPr="00A5086E">
        <w:rPr>
          <w:rFonts w:cstheme="minorHAnsi"/>
          <w:color w:val="000000" w:themeColor="text1"/>
        </w:rPr>
        <w:t xml:space="preserve"> at *6. The court concluded that the complainant met her burden to establish that the reasonable accommodation was necessary. Kennedy House interprets </w:t>
      </w:r>
      <w:r w:rsidRPr="00A5086E">
        <w:rPr>
          <w:rFonts w:cstheme="minorHAnsi"/>
          <w:i/>
          <w:iCs/>
          <w:color w:val="000000" w:themeColor="text1"/>
        </w:rPr>
        <w:t>Smith</w:t>
      </w:r>
      <w:r w:rsidRPr="00A5086E">
        <w:rPr>
          <w:rFonts w:cstheme="minorHAnsi"/>
          <w:color w:val="000000" w:themeColor="text1"/>
        </w:rPr>
        <w:t xml:space="preserve"> as showing that caring for oneself and keeping a regular routine are related to a psychological disability and that an accommodation may be necessary if the animal provides assistance directly related to that disability. Kennedy House argues that since Ms. Rubin’s disability is physical and not psychological, and Mira provides no assistance to Ms. Rubin related to her physical disability, no nexus can be established.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Kennedy House also relies on </w:t>
      </w:r>
      <w:hyperlink r:id="rId121" w:history="1">
        <w:proofErr w:type="spellStart"/>
        <w:r w:rsidRPr="00A5086E">
          <w:rPr>
            <w:rFonts w:cstheme="minorHAnsi"/>
            <w:i/>
            <w:iCs/>
            <w:color w:val="000000" w:themeColor="text1"/>
          </w:rPr>
          <w:t>Nason</w:t>
        </w:r>
        <w:proofErr w:type="spellEnd"/>
        <w:r w:rsidRPr="00A5086E">
          <w:rPr>
            <w:rFonts w:cstheme="minorHAnsi"/>
            <w:i/>
            <w:iCs/>
            <w:color w:val="000000" w:themeColor="text1"/>
          </w:rPr>
          <w:t xml:space="preserve"> v. Stone Hill Realty </w:t>
        </w:r>
        <w:proofErr w:type="spellStart"/>
        <w:r w:rsidRPr="00A5086E">
          <w:rPr>
            <w:rFonts w:cstheme="minorHAnsi"/>
            <w:i/>
            <w:iCs/>
            <w:color w:val="000000" w:themeColor="text1"/>
          </w:rPr>
          <w:t>Ass’n</w:t>
        </w:r>
        <w:proofErr w:type="spellEnd"/>
        <w:r w:rsidRPr="00A5086E">
          <w:rPr>
            <w:rFonts w:cstheme="minorHAnsi"/>
            <w:i/>
            <w:iCs/>
            <w:color w:val="000000" w:themeColor="text1"/>
          </w:rPr>
          <w:t>,</w:t>
        </w:r>
        <w:r w:rsidRPr="00A5086E">
          <w:rPr>
            <w:rFonts w:cstheme="minorHAnsi"/>
            <w:color w:val="000000" w:themeColor="text1"/>
          </w:rPr>
          <w:t xml:space="preserve"> No. 961591, 1996 WL 1186942, at *3 (</w:t>
        </w:r>
        <w:proofErr w:type="spellStart"/>
        <w:r w:rsidRPr="00A5086E">
          <w:rPr>
            <w:rFonts w:cstheme="minorHAnsi"/>
            <w:color w:val="000000" w:themeColor="text1"/>
          </w:rPr>
          <w:t>Mass.Super</w:t>
        </w:r>
        <w:proofErr w:type="spellEnd"/>
        <w:r w:rsidRPr="00A5086E">
          <w:rPr>
            <w:rFonts w:cstheme="minorHAnsi"/>
            <w:color w:val="000000" w:themeColor="text1"/>
          </w:rPr>
          <w:t>. May 6, 1996)</w:t>
        </w:r>
      </w:hyperlink>
      <w:r w:rsidRPr="00A5086E">
        <w:rPr>
          <w:rFonts w:cstheme="minorHAnsi"/>
          <w:color w:val="000000" w:themeColor="text1"/>
        </w:rPr>
        <w:t xml:space="preserve"> as further demonstrating how the courts interpret and apply the requirement of a nexus between the disability and the disability-related need for the assistance animal. In </w:t>
      </w:r>
      <w:proofErr w:type="spellStart"/>
      <w:r w:rsidRPr="00A5086E">
        <w:rPr>
          <w:rFonts w:cstheme="minorHAnsi"/>
          <w:i/>
          <w:iCs/>
          <w:color w:val="000000" w:themeColor="text1"/>
        </w:rPr>
        <w:t>Nason</w:t>
      </w:r>
      <w:proofErr w:type="spellEnd"/>
      <w:r w:rsidRPr="00A5086E">
        <w:rPr>
          <w:rFonts w:cstheme="minorHAnsi"/>
          <w:i/>
          <w:iCs/>
          <w:color w:val="000000" w:themeColor="text1"/>
        </w:rPr>
        <w:t>,</w:t>
      </w:r>
      <w:r w:rsidRPr="00A5086E">
        <w:rPr>
          <w:rFonts w:cstheme="minorHAnsi"/>
          <w:color w:val="000000" w:themeColor="text1"/>
        </w:rPr>
        <w:t xml:space="preserve"> the Superior Court of Massachusetts,</w:t>
      </w:r>
      <w:bookmarkStart w:id="114" w:name="co_footnoteReference_B00992039349007_ID0"/>
      <w:bookmarkEnd w:id="114"/>
      <w:r w:rsidRPr="00A5086E">
        <w:rPr>
          <w:rFonts w:cstheme="minorHAnsi"/>
          <w:color w:val="000000" w:themeColor="text1"/>
        </w:rPr>
        <w:fldChar w:fldCharType="begin"/>
      </w:r>
      <w:r w:rsidRPr="00A5086E">
        <w:rPr>
          <w:rFonts w:cstheme="minorHAnsi"/>
          <w:color w:val="000000" w:themeColor="text1"/>
        </w:rPr>
        <w:instrText xml:space="preserve">HYPERLINK "#co_footnote_B00992039349007_1" </w:instrText>
      </w:r>
      <w:r w:rsidRPr="00A5086E">
        <w:rPr>
          <w:rFonts w:cstheme="minorHAnsi"/>
          <w:color w:val="000000" w:themeColor="text1"/>
        </w:rPr>
        <w:fldChar w:fldCharType="separate"/>
      </w:r>
      <w:r w:rsidRPr="00A5086E">
        <w:rPr>
          <w:rFonts w:cstheme="minorHAnsi"/>
          <w:color w:val="000000" w:themeColor="text1"/>
          <w:vertAlign w:val="superscript"/>
        </w:rPr>
        <w:t>9</w:t>
      </w:r>
      <w:r w:rsidRPr="00A5086E">
        <w:rPr>
          <w:rFonts w:cstheme="minorHAnsi"/>
          <w:color w:val="000000" w:themeColor="text1"/>
        </w:rPr>
        <w:fldChar w:fldCharType="end"/>
      </w:r>
      <w:r w:rsidRPr="00A5086E">
        <w:rPr>
          <w:rFonts w:cstheme="minorHAnsi"/>
          <w:color w:val="000000" w:themeColor="text1"/>
        </w:rPr>
        <w:t xml:space="preserve"> did not grant a preliminary injunction to stop the defendant from evicting a complainant with multiple sclerosis (MS) from her apartment for violating the defendant’s no-pet policy. </w:t>
      </w:r>
      <w:r w:rsidRPr="00A5086E">
        <w:rPr>
          <w:rFonts w:cstheme="minorHAnsi"/>
          <w:i/>
          <w:iCs/>
          <w:color w:val="000000" w:themeColor="text1"/>
        </w:rPr>
        <w:t>Id.</w:t>
      </w:r>
      <w:r w:rsidRPr="00A5086E">
        <w:rPr>
          <w:rFonts w:cstheme="minorHAnsi"/>
          <w:color w:val="000000" w:themeColor="text1"/>
        </w:rPr>
        <w:t xml:space="preserve"> at *1. The complainant took in her sick mother’s cat when her mother turned ill and was no longer able to care for herself or her cat. </w:t>
      </w:r>
      <w:r w:rsidRPr="00A5086E">
        <w:rPr>
          <w:rFonts w:cstheme="minorHAnsi"/>
          <w:i/>
          <w:iCs/>
          <w:color w:val="000000" w:themeColor="text1"/>
        </w:rPr>
        <w:t>Id.</w:t>
      </w:r>
      <w:r w:rsidRPr="00A5086E">
        <w:rPr>
          <w:rFonts w:cstheme="minorHAnsi"/>
          <w:color w:val="000000" w:themeColor="text1"/>
        </w:rPr>
        <w:t xml:space="preserve"> After her mother died, the complainant kept the cat for herself and alleged that it assisted her with her MS. The defendant demanded that the cat be removed from the premises, and the complainant sought relief under the FHA and Massachusetts law. The court found that the complainant did not show “a substantial likelihood of proving that maintaining possession of the cat is necessary due to her [disability].” </w:t>
      </w:r>
      <w:r w:rsidRPr="00A5086E">
        <w:rPr>
          <w:rFonts w:cstheme="minorHAnsi"/>
          <w:i/>
          <w:iCs/>
          <w:color w:val="000000" w:themeColor="text1"/>
        </w:rPr>
        <w:t>Id.</w:t>
      </w:r>
      <w:r w:rsidRPr="00A5086E">
        <w:rPr>
          <w:rFonts w:cstheme="minorHAnsi"/>
          <w:color w:val="000000" w:themeColor="text1"/>
        </w:rPr>
        <w:t xml:space="preserve"> at *3. The court looked to whether the complainant provided evidence of a clear nexus between her MS and the need for the cat by assessing an affidavit from the complainant’s neurologist that stated that removal of the cat would lead to “increased symptoms of depression, weakness, spasticity and fatigue.” </w:t>
      </w:r>
      <w:r w:rsidRPr="00A5086E">
        <w:rPr>
          <w:rFonts w:cstheme="minorHAnsi"/>
          <w:i/>
          <w:iCs/>
          <w:color w:val="000000" w:themeColor="text1"/>
        </w:rPr>
        <w:t>Id.</w:t>
      </w:r>
      <w:r w:rsidRPr="00A5086E">
        <w:rPr>
          <w:rFonts w:cstheme="minorHAnsi"/>
          <w:color w:val="000000" w:themeColor="text1"/>
        </w:rPr>
        <w:t xml:space="preserve"> The court concluded: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 xml:space="preserve">[T]he affidavit does not demonstrate that such symptoms are treatable solely by maintaining the cat or whether another more reasonable accommodation is available to address [the complainant’s] </w:t>
      </w:r>
      <w:r w:rsidRPr="00A5086E">
        <w:rPr>
          <w:rFonts w:cstheme="minorHAnsi"/>
          <w:color w:val="000000" w:themeColor="text1"/>
        </w:rPr>
        <w:lastRenderedPageBreak/>
        <w:t>symptoms. For example, the affidavit fails to illustrate how the presence of the cat, as opposed to some other therapeutic method such as chemical therapy, is essential or necessary to treating her symptoms.</w:t>
      </w:r>
    </w:p>
    <w:p w:rsidR="00793CB5" w:rsidRPr="00A5086E" w:rsidRDefault="00793CB5" w:rsidP="00793CB5">
      <w:pPr>
        <w:widowControl w:val="0"/>
        <w:autoSpaceDE w:val="0"/>
        <w:autoSpaceDN w:val="0"/>
        <w:adjustRightInd w:val="0"/>
        <w:spacing w:before="200"/>
        <w:ind w:left="400"/>
        <w:jc w:val="both"/>
        <w:rPr>
          <w:rFonts w:cstheme="minorHAnsi"/>
          <w:color w:val="000000" w:themeColor="text1"/>
        </w:rPr>
      </w:pPr>
      <w:r w:rsidRPr="00A5086E">
        <w:rPr>
          <w:rFonts w:cstheme="minorHAnsi"/>
          <w:color w:val="000000" w:themeColor="text1"/>
        </w:rPr>
        <w:t>This is not to say that there could be a basis on a fully developed record for a finder of fact to determine that keeping the cat is necessary given [the complainant’s disability]. However, the record before the court fails to clearly demonstrate the nexus between keeping the cat and her handicap sufficient to warrant the court to intervene at this juncture of the litigation. The court will not assume or guess as to the nature of the connection between the cat and [the complainant’s disability].</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i/>
          <w:iCs/>
          <w:color w:val="000000" w:themeColor="text1"/>
        </w:rPr>
        <w:t>Id.</w:t>
      </w:r>
      <w:r w:rsidRPr="00A5086E">
        <w:rPr>
          <w:rFonts w:cstheme="minorHAnsi"/>
          <w:color w:val="000000" w:themeColor="text1"/>
        </w:rPr>
        <w:t xml:space="preserve"> Kennedy House argues that like the complainant in </w:t>
      </w:r>
      <w:proofErr w:type="spellStart"/>
      <w:r w:rsidRPr="00A5086E">
        <w:rPr>
          <w:rFonts w:cstheme="minorHAnsi"/>
          <w:i/>
          <w:iCs/>
          <w:color w:val="000000" w:themeColor="text1"/>
        </w:rPr>
        <w:t>Nason</w:t>
      </w:r>
      <w:proofErr w:type="spellEnd"/>
      <w:r w:rsidRPr="00A5086E">
        <w:rPr>
          <w:rFonts w:cstheme="minorHAnsi"/>
          <w:color w:val="000000" w:themeColor="text1"/>
        </w:rPr>
        <w:t xml:space="preserve">, the note from Ms. </w:t>
      </w:r>
      <w:bookmarkStart w:id="115" w:name="co_pp_sp_7691_489_1"/>
      <w:bookmarkEnd w:id="115"/>
      <w:r w:rsidRPr="00A5086E">
        <w:rPr>
          <w:rFonts w:cstheme="minorHAnsi"/>
          <w:b/>
          <w:bCs/>
          <w:color w:val="000000" w:themeColor="text1"/>
        </w:rPr>
        <w:t>*489</w:t>
      </w:r>
      <w:r w:rsidRPr="00A5086E">
        <w:rPr>
          <w:rFonts w:cstheme="minorHAnsi"/>
          <w:color w:val="000000" w:themeColor="text1"/>
        </w:rPr>
        <w:t xml:space="preserve"> Rubin’s physician did not establish a nexus between that disability and the assistance that Mira provides. The note from Dr. Wynne addressed Ms. Rubin’s mobility disability, and there is no evidence that Mira’s assistance is related to Ms. Rubin’s mobility</w:t>
      </w:r>
      <w:bookmarkStart w:id="116" w:name="co_anchor_I8c15342abbe611e698dc8b09b4f04"/>
      <w:bookmarkEnd w:id="116"/>
    </w:p>
    <w:p w:rsidR="00793CB5" w:rsidRPr="00A5086E" w:rsidRDefault="00793CB5" w:rsidP="00C37C44">
      <w:pPr>
        <w:widowControl w:val="0"/>
        <w:autoSpaceDE w:val="0"/>
        <w:autoSpaceDN w:val="0"/>
        <w:adjustRightInd w:val="0"/>
        <w:spacing w:before="360"/>
        <w:jc w:val="center"/>
        <w:rPr>
          <w:rFonts w:cstheme="minorHAnsi"/>
          <w:b/>
          <w:bCs/>
          <w:color w:val="000000" w:themeColor="text1"/>
        </w:rPr>
      </w:pPr>
      <w:r w:rsidRPr="00A5086E">
        <w:rPr>
          <w:rFonts w:cstheme="minorHAnsi"/>
          <w:b/>
          <w:bCs/>
          <w:color w:val="000000" w:themeColor="text1"/>
        </w:rPr>
        <w:t>2. Discussion</w:t>
      </w:r>
    </w:p>
    <w:p w:rsidR="00793CB5" w:rsidRPr="00A5086E" w:rsidRDefault="00A82B37" w:rsidP="00793CB5">
      <w:pPr>
        <w:widowControl w:val="0"/>
        <w:autoSpaceDE w:val="0"/>
        <w:autoSpaceDN w:val="0"/>
        <w:adjustRightInd w:val="0"/>
        <w:jc w:val="both"/>
        <w:rPr>
          <w:rFonts w:cstheme="minorHAnsi"/>
          <w:color w:val="000000" w:themeColor="text1"/>
        </w:rPr>
      </w:pPr>
      <w:hyperlink w:anchor="co_anchor_F92039349007_1" w:history="1">
        <w:r w:rsidR="00793CB5" w:rsidRPr="00A5086E">
          <w:rPr>
            <w:rFonts w:cstheme="minorHAnsi"/>
            <w:b/>
            <w:bCs/>
            <w:color w:val="000000" w:themeColor="text1"/>
            <w:vertAlign w:val="superscript"/>
          </w:rPr>
          <w:t>[9]</w:t>
        </w:r>
      </w:hyperlink>
      <w:bookmarkStart w:id="117" w:name="co_anchor_B92039349007_1"/>
      <w:bookmarkEnd w:id="117"/>
      <w:r w:rsidR="00793CB5" w:rsidRPr="00A5086E">
        <w:rPr>
          <w:rFonts w:cstheme="minorHAnsi"/>
          <w:color w:val="000000" w:themeColor="text1"/>
        </w:rPr>
        <w:t xml:space="preserve"> </w:t>
      </w:r>
      <w:hyperlink w:anchor="co_anchor_F102039349007_1" w:history="1">
        <w:r w:rsidR="00793CB5" w:rsidRPr="00A5086E">
          <w:rPr>
            <w:rFonts w:cstheme="minorHAnsi"/>
            <w:b/>
            <w:bCs/>
            <w:color w:val="000000" w:themeColor="text1"/>
            <w:vertAlign w:val="superscript"/>
          </w:rPr>
          <w:t>[10]</w:t>
        </w:r>
      </w:hyperlink>
      <w:bookmarkStart w:id="118" w:name="co_anchor_B102039349007_1"/>
      <w:bookmarkEnd w:id="118"/>
      <w:r w:rsidR="00793CB5" w:rsidRPr="00A5086E">
        <w:rPr>
          <w:rFonts w:cstheme="minorHAnsi"/>
          <w:color w:val="000000" w:themeColor="text1"/>
        </w:rPr>
        <w:t xml:space="preserve"> The difficulty presented is distinguishing between a disability-related need for an assistance animal and a beloved, and intuitive, pet. As described in the HUD Notice, “[a]n assistance animal is not a pet. It is an animal that works, provides assistance or performs tasks ... or provides emotional support that alleviates one or more identified symptoms or effects of a person’s disability.” HUD Notice at 2. The distinction may be difficult to draw in some cases. However, based on the language in HUD’s Interpretive Rule, and the cases, it is the burden of the individual with the disability to demonstrate a nexus between his or her disability and the function the service animal provides or, in other words, a connection to the disability-related assistance provided by the assistance animal. Under the specific facts in this case, we agree with Kennedy House that Ms. Rubin has not sufficiently met her burden of demonstrating a nexus between her disability and the assistance provided by Mira.</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Where the nature of a disability and the need for disability-related assistance is apparent from the nature of the disability, no medical information is required. </w:t>
      </w:r>
      <w:r w:rsidRPr="00A5086E">
        <w:rPr>
          <w:rFonts w:cstheme="minorHAnsi"/>
          <w:i/>
          <w:iCs/>
          <w:color w:val="000000" w:themeColor="text1"/>
        </w:rPr>
        <w:t>See</w:t>
      </w:r>
      <w:r w:rsidRPr="00A5086E">
        <w:rPr>
          <w:rFonts w:cstheme="minorHAnsi"/>
          <w:color w:val="000000" w:themeColor="text1"/>
        </w:rPr>
        <w:t xml:space="preserve"> HUD Notice at 4 (stating that “persons who are blind or have low vision may not be asked to provide documentation of their disability or their disability-related need for a guide dog”).</w:t>
      </w:r>
      <w:bookmarkStart w:id="119" w:name="co_footnoteReference_B010102039349007_ID"/>
      <w:bookmarkEnd w:id="119"/>
      <w:r w:rsidRPr="00A5086E">
        <w:rPr>
          <w:rFonts w:cstheme="minorHAnsi"/>
          <w:color w:val="000000" w:themeColor="text1"/>
        </w:rPr>
        <w:fldChar w:fldCharType="begin"/>
      </w:r>
      <w:r w:rsidRPr="00A5086E">
        <w:rPr>
          <w:rFonts w:cstheme="minorHAnsi"/>
          <w:color w:val="000000" w:themeColor="text1"/>
        </w:rPr>
        <w:instrText xml:space="preserve">HYPERLINK "#co_footnote_B010102039349007_1" </w:instrText>
      </w:r>
      <w:r w:rsidRPr="00A5086E">
        <w:rPr>
          <w:rFonts w:cstheme="minorHAnsi"/>
          <w:color w:val="000000" w:themeColor="text1"/>
        </w:rPr>
        <w:fldChar w:fldCharType="separate"/>
      </w:r>
      <w:r w:rsidRPr="00A5086E">
        <w:rPr>
          <w:rFonts w:cstheme="minorHAnsi"/>
          <w:color w:val="000000" w:themeColor="text1"/>
          <w:vertAlign w:val="superscript"/>
        </w:rPr>
        <w:t>10</w:t>
      </w:r>
      <w:r w:rsidRPr="00A5086E">
        <w:rPr>
          <w:rFonts w:cstheme="minorHAnsi"/>
          <w:color w:val="000000" w:themeColor="text1"/>
        </w:rPr>
        <w:fldChar w:fldCharType="end"/>
      </w:r>
      <w:r w:rsidRPr="00A5086E">
        <w:rPr>
          <w:rFonts w:cstheme="minorHAnsi"/>
          <w:color w:val="000000" w:themeColor="text1"/>
        </w:rPr>
        <w:t xml:space="preserve"> However, where the nature of the disability and the need for disability-related assistance is not apparent, medical information can be required. According to joint guidance from the Department of Justice and HUD: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spacing w:before="200"/>
        <w:ind w:left="200"/>
        <w:jc w:val="both"/>
        <w:rPr>
          <w:rFonts w:cstheme="minorHAnsi"/>
          <w:color w:val="000000" w:themeColor="text1"/>
        </w:rPr>
      </w:pPr>
      <w:r w:rsidRPr="00A5086E">
        <w:rPr>
          <w:rFonts w:cstheme="minorHAnsi"/>
          <w:color w:val="000000" w:themeColor="text1"/>
        </w:rPr>
        <w:t>A housing provider may not ordinarily inquire as to the nature and severity of an individual’s disability.... However, in response to a request for a reasonable accommodation, a housing provider may request reliable disability-related information that (1) is necessary to verify that the person meets the Act’s definition of disability (</w:t>
      </w:r>
      <w:r w:rsidRPr="00A5086E">
        <w:rPr>
          <w:rFonts w:cstheme="minorHAnsi"/>
          <w:i/>
          <w:iCs/>
          <w:color w:val="000000" w:themeColor="text1"/>
        </w:rPr>
        <w:t>i.e.,</w:t>
      </w:r>
      <w:r w:rsidRPr="00A5086E">
        <w:rPr>
          <w:rFonts w:cstheme="minorHAnsi"/>
          <w:color w:val="000000" w:themeColor="text1"/>
        </w:rPr>
        <w:t xml:space="preserve"> has a physical or </w:t>
      </w:r>
      <w:hyperlink r:id="rId122" w:history="1">
        <w:r w:rsidRPr="00A5086E">
          <w:rPr>
            <w:rFonts w:cstheme="minorHAnsi"/>
            <w:color w:val="000000" w:themeColor="text1"/>
          </w:rPr>
          <w:t>mental impairment</w:t>
        </w:r>
      </w:hyperlink>
      <w:r w:rsidRPr="00A5086E">
        <w:rPr>
          <w:rFonts w:cstheme="minorHAnsi"/>
          <w:color w:val="000000" w:themeColor="text1"/>
        </w:rPr>
        <w:t xml:space="preserve"> that substantially limits one or more major life activities), (2) describes the needed accommodation, and (3) shows the relationship between the person’s disability and the need for the requested accommodation.... Once a housing provider has established that a person meets the Act’s definition of disability, the provider’s request for documentation should seek only the information that is necessary to evaluate if the reasonable accommodation is needed because of a disability.</w:t>
      </w:r>
    </w:p>
    <w:p w:rsidR="00793CB5" w:rsidRPr="00A5086E" w:rsidRDefault="00793CB5" w:rsidP="00793CB5">
      <w:pPr>
        <w:widowControl w:val="0"/>
        <w:autoSpaceDE w:val="0"/>
        <w:autoSpaceDN w:val="0"/>
        <w:adjustRightInd w:val="0"/>
        <w:ind w:left="200"/>
        <w:jc w:val="both"/>
        <w:rPr>
          <w:rFonts w:cstheme="minorHAnsi"/>
          <w:color w:val="000000" w:themeColor="text1"/>
        </w:rPr>
      </w:pPr>
      <w:r w:rsidRPr="00A5086E">
        <w:rPr>
          <w:rFonts w:cstheme="minorHAnsi"/>
          <w:color w:val="000000" w:themeColor="text1"/>
        </w:rPr>
        <w:t xml:space="preserve">Reasonable Accommodations Under the Fair Housing Act, Joint Statement of the Department of Housing and Urban Development </w:t>
      </w:r>
      <w:bookmarkStart w:id="120" w:name="co_pp_sp_7691_490_1"/>
      <w:bookmarkEnd w:id="120"/>
      <w:r w:rsidRPr="00A5086E">
        <w:rPr>
          <w:rFonts w:cstheme="minorHAnsi"/>
          <w:b/>
          <w:bCs/>
          <w:color w:val="000000" w:themeColor="text1"/>
        </w:rPr>
        <w:t>*490</w:t>
      </w:r>
      <w:r w:rsidRPr="00A5086E">
        <w:rPr>
          <w:rFonts w:cstheme="minorHAnsi"/>
          <w:color w:val="000000" w:themeColor="text1"/>
        </w:rPr>
        <w:t xml:space="preserve"> and the Department of Justice, May 17, 2004, ¶ 18.</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In this case, the nature of Ms. Rubin’s disability was not apparent,</w:t>
      </w:r>
      <w:bookmarkStart w:id="121" w:name="co_footnoteReference_B011112039349007_ID"/>
      <w:bookmarkEnd w:id="121"/>
      <w:r w:rsidRPr="00A5086E">
        <w:rPr>
          <w:rFonts w:cstheme="minorHAnsi"/>
          <w:color w:val="000000" w:themeColor="text1"/>
        </w:rPr>
        <w:fldChar w:fldCharType="begin"/>
      </w:r>
      <w:r w:rsidRPr="00A5086E">
        <w:rPr>
          <w:rFonts w:cstheme="minorHAnsi"/>
          <w:color w:val="000000" w:themeColor="text1"/>
        </w:rPr>
        <w:instrText xml:space="preserve">HYPERLINK "#co_footnote_B011112039349007_1" </w:instrText>
      </w:r>
      <w:r w:rsidRPr="00A5086E">
        <w:rPr>
          <w:rFonts w:cstheme="minorHAnsi"/>
          <w:color w:val="000000" w:themeColor="text1"/>
        </w:rPr>
        <w:fldChar w:fldCharType="separate"/>
      </w:r>
      <w:r w:rsidRPr="00A5086E">
        <w:rPr>
          <w:rFonts w:cstheme="minorHAnsi"/>
          <w:color w:val="000000" w:themeColor="text1"/>
          <w:vertAlign w:val="superscript"/>
        </w:rPr>
        <w:t>11</w:t>
      </w:r>
      <w:r w:rsidRPr="00A5086E">
        <w:rPr>
          <w:rFonts w:cstheme="minorHAnsi"/>
          <w:color w:val="000000" w:themeColor="text1"/>
        </w:rPr>
        <w:fldChar w:fldCharType="end"/>
      </w:r>
      <w:r w:rsidRPr="00A5086E">
        <w:rPr>
          <w:rFonts w:cstheme="minorHAnsi"/>
          <w:color w:val="000000" w:themeColor="text1"/>
        </w:rPr>
        <w:t xml:space="preserve"> and so she was asked to provide </w:t>
      </w:r>
      <w:r w:rsidRPr="00A5086E">
        <w:rPr>
          <w:rFonts w:cstheme="minorHAnsi"/>
          <w:color w:val="000000" w:themeColor="text1"/>
        </w:rPr>
        <w:lastRenderedPageBreak/>
        <w:t xml:space="preserve">medical documentation. Her physician’s March 10, 2011 letter to Kennedy House attested to Ms. Rubin’s “medical issues that affect her </w:t>
      </w:r>
      <w:r w:rsidRPr="00A5086E">
        <w:rPr>
          <w:rFonts w:cstheme="minorHAnsi"/>
          <w:b/>
          <w:bCs/>
          <w:color w:val="000000" w:themeColor="text1"/>
        </w:rPr>
        <w:t>mobility</w:t>
      </w:r>
      <w:r w:rsidRPr="00A5086E">
        <w:rPr>
          <w:rFonts w:cstheme="minorHAnsi"/>
          <w:color w:val="000000" w:themeColor="text1"/>
        </w:rPr>
        <w:t xml:space="preserve">” and stated that Ms. Rubin “benefits from the support of a </w:t>
      </w:r>
      <w:r w:rsidRPr="00A5086E">
        <w:rPr>
          <w:rFonts w:cstheme="minorHAnsi"/>
          <w:b/>
          <w:bCs/>
          <w:color w:val="000000" w:themeColor="text1"/>
        </w:rPr>
        <w:t>service dog.</w:t>
      </w:r>
      <w:r w:rsidRPr="00A5086E">
        <w:rPr>
          <w:rFonts w:cstheme="minorHAnsi"/>
          <w:color w:val="000000" w:themeColor="text1"/>
        </w:rPr>
        <w:t>” (R.R. at 154 (emphasis added).)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We agree with Kennedy House that the nexus that must be demonstrated is between the disability described in the medical information and the assistance provided by the animal. Here, the medical information provided by her physician documented Ms. Rubin’s issues with mobility; however, there is no question that Mira does not provide assistance to Ms. Rubin directly related to her mobility, the only disability documented by Dr. Wynne. Ms. Rubin explicitly stated that Mira </w:t>
      </w:r>
      <w:r w:rsidRPr="00A5086E">
        <w:rPr>
          <w:rFonts w:cstheme="minorHAnsi"/>
          <w:b/>
          <w:bCs/>
          <w:color w:val="000000" w:themeColor="text1"/>
        </w:rPr>
        <w:t>does not</w:t>
      </w:r>
      <w:r w:rsidRPr="00A5086E">
        <w:rPr>
          <w:rFonts w:cstheme="minorHAnsi"/>
          <w:color w:val="000000" w:themeColor="text1"/>
        </w:rPr>
        <w:t xml:space="preserve"> assist her with her mobility; instead, Mira assists her by </w:t>
      </w:r>
      <w:r w:rsidRPr="00A5086E">
        <w:rPr>
          <w:rFonts w:cstheme="minorHAnsi"/>
          <w:b/>
          <w:bCs/>
          <w:color w:val="000000" w:themeColor="text1"/>
        </w:rPr>
        <w:t>reminding</w:t>
      </w:r>
      <w:r w:rsidRPr="00A5086E">
        <w:rPr>
          <w:rFonts w:cstheme="minorHAnsi"/>
          <w:color w:val="000000" w:themeColor="text1"/>
        </w:rPr>
        <w:t xml:space="preserve"> her to take medications and </w:t>
      </w:r>
      <w:r w:rsidRPr="00A5086E">
        <w:rPr>
          <w:rFonts w:cstheme="minorHAnsi"/>
          <w:b/>
          <w:bCs/>
          <w:color w:val="000000" w:themeColor="text1"/>
        </w:rPr>
        <w:t>reminding</w:t>
      </w:r>
      <w:r w:rsidRPr="00A5086E">
        <w:rPr>
          <w:rFonts w:cstheme="minorHAnsi"/>
          <w:color w:val="000000" w:themeColor="text1"/>
        </w:rPr>
        <w:t xml:space="preserve"> her to get out of bed. (R.R. at 112 (emphasis added).) It is Ms. Rubin, as the complaining party, that bears the burden of proving that an accommodation is necessary. </w:t>
      </w:r>
      <w:hyperlink r:id="rId123" w:anchor="co_pp_sp_506_457" w:history="1">
        <w:proofErr w:type="spellStart"/>
        <w:r w:rsidRPr="00A5086E">
          <w:rPr>
            <w:rFonts w:cstheme="minorHAnsi"/>
            <w:i/>
            <w:iCs/>
            <w:color w:val="000000" w:themeColor="text1"/>
          </w:rPr>
          <w:t>Lapid</w:t>
        </w:r>
        <w:proofErr w:type="spellEnd"/>
        <w:r w:rsidRPr="00A5086E">
          <w:rPr>
            <w:rFonts w:cstheme="minorHAnsi"/>
            <w:i/>
            <w:iCs/>
            <w:color w:val="000000" w:themeColor="text1"/>
          </w:rPr>
          <w:t>–Laurel,</w:t>
        </w:r>
        <w:r w:rsidRPr="00A5086E">
          <w:rPr>
            <w:rFonts w:cstheme="minorHAnsi"/>
            <w:color w:val="000000" w:themeColor="text1"/>
          </w:rPr>
          <w:t xml:space="preserve"> 284 F.3d at 457</w:t>
        </w:r>
      </w:hyperlink>
      <w:r w:rsidRPr="00A5086E">
        <w:rPr>
          <w:rFonts w:cstheme="minorHAnsi"/>
          <w:color w:val="000000" w:themeColor="text1"/>
        </w:rPr>
        <w:t>. Because Ms. Rubin did not demonstrate a need for her assistance animal directly related to the disability described by her physician, we cannot conclude that Ms. Rubin satisfied her burden.</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This interpretation is consistent with the cases cited by the parties, and others that we have found. Each case we have found involves evidence directly connecting the type of assistance provided by the animal with a disability described by a physician or other qualified expert. </w:t>
      </w:r>
      <w:r w:rsidRPr="00A5086E">
        <w:rPr>
          <w:rFonts w:cstheme="minorHAnsi"/>
          <w:i/>
          <w:iCs/>
          <w:color w:val="000000" w:themeColor="text1"/>
        </w:rPr>
        <w:t xml:space="preserve">See </w:t>
      </w:r>
      <w:hyperlink r:id="rId124" w:anchor="co_pp_sp_506_361" w:history="1">
        <w:r w:rsidRPr="00A5086E">
          <w:rPr>
            <w:rFonts w:cstheme="minorHAnsi"/>
            <w:i/>
            <w:iCs/>
            <w:color w:val="000000" w:themeColor="text1"/>
          </w:rPr>
          <w:t>Anderson v. City of Blue Ash,</w:t>
        </w:r>
        <w:r w:rsidRPr="00A5086E">
          <w:rPr>
            <w:rFonts w:cstheme="minorHAnsi"/>
            <w:color w:val="000000" w:themeColor="text1"/>
          </w:rPr>
          <w:t xml:space="preserve"> 798 F.3d 338, 361 (6th Cir.2015)</w:t>
        </w:r>
      </w:hyperlink>
      <w:r w:rsidRPr="00A5086E">
        <w:rPr>
          <w:rFonts w:cstheme="minorHAnsi"/>
          <w:color w:val="000000" w:themeColor="text1"/>
        </w:rPr>
        <w:t xml:space="preserve"> (concluding that, based on letter from the child’s doctor, a reasonable factfinder could find an accommodation of a miniature horse necessary to alleviate a child’s disabilities); </w:t>
      </w:r>
      <w:hyperlink r:id="rId125" w:anchor="co_pp_sp_506_1289" w:history="1">
        <w:proofErr w:type="spellStart"/>
        <w:r w:rsidRPr="00A5086E">
          <w:rPr>
            <w:rFonts w:cstheme="minorHAnsi"/>
            <w:i/>
            <w:iCs/>
            <w:color w:val="000000" w:themeColor="text1"/>
          </w:rPr>
          <w:t>Bhogaita</w:t>
        </w:r>
        <w:proofErr w:type="spellEnd"/>
        <w:r w:rsidRPr="00A5086E">
          <w:rPr>
            <w:rFonts w:cstheme="minorHAnsi"/>
            <w:i/>
            <w:iCs/>
            <w:color w:val="000000" w:themeColor="text1"/>
          </w:rPr>
          <w:t xml:space="preserve"> v. Altamonte Heights Condo. </w:t>
        </w:r>
        <w:proofErr w:type="spellStart"/>
        <w:r w:rsidRPr="00A5086E">
          <w:rPr>
            <w:rFonts w:cstheme="minorHAnsi"/>
            <w:i/>
            <w:iCs/>
            <w:color w:val="000000" w:themeColor="text1"/>
          </w:rPr>
          <w:t>Ass’n</w:t>
        </w:r>
        <w:proofErr w:type="spellEnd"/>
        <w:r w:rsidRPr="00A5086E">
          <w:rPr>
            <w:rFonts w:cstheme="minorHAnsi"/>
            <w:i/>
            <w:iCs/>
            <w:color w:val="000000" w:themeColor="text1"/>
          </w:rPr>
          <w:t>, Inc.,</w:t>
        </w:r>
        <w:r w:rsidRPr="00A5086E">
          <w:rPr>
            <w:rFonts w:cstheme="minorHAnsi"/>
            <w:color w:val="000000" w:themeColor="text1"/>
          </w:rPr>
          <w:t xml:space="preserve"> 765 F.3d 1277, 1289 (11th Cir.2014)</w:t>
        </w:r>
      </w:hyperlink>
      <w:r w:rsidRPr="00A5086E">
        <w:rPr>
          <w:rFonts w:cstheme="minorHAnsi"/>
          <w:color w:val="000000" w:themeColor="text1"/>
        </w:rPr>
        <w:t xml:space="preserve"> (concluding based on a letter from complainant’s doctor that a reasonable factfinder could conclude that the complainant’s dog alleviates the symptoms of his </w:t>
      </w:r>
      <w:hyperlink r:id="rId126" w:history="1">
        <w:r w:rsidRPr="00A5086E">
          <w:rPr>
            <w:rFonts w:cstheme="minorHAnsi"/>
            <w:color w:val="000000" w:themeColor="text1"/>
          </w:rPr>
          <w:t>post-traumatic stress disorder</w:t>
        </w:r>
      </w:hyperlink>
      <w:r w:rsidRPr="00A5086E">
        <w:rPr>
          <w:rFonts w:cstheme="minorHAnsi"/>
          <w:color w:val="000000" w:themeColor="text1"/>
        </w:rPr>
        <w:t xml:space="preserve">); </w:t>
      </w:r>
      <w:hyperlink r:id="rId127" w:history="1">
        <w:r w:rsidRPr="00A5086E">
          <w:rPr>
            <w:rFonts w:cstheme="minorHAnsi"/>
            <w:i/>
            <w:iCs/>
            <w:color w:val="000000" w:themeColor="text1"/>
          </w:rPr>
          <w:t>Castellano v. Access Premier Realty, Inc.,</w:t>
        </w:r>
        <w:r w:rsidRPr="00A5086E">
          <w:rPr>
            <w:rFonts w:cstheme="minorHAnsi"/>
            <w:color w:val="000000" w:themeColor="text1"/>
          </w:rPr>
          <w:t xml:space="preserve"> No. 1:15–CV–0407–MCE–KJS, 2016 WL 1588430, at *6 (</w:t>
        </w:r>
        <w:proofErr w:type="spellStart"/>
        <w:r w:rsidRPr="00A5086E">
          <w:rPr>
            <w:rFonts w:cstheme="minorHAnsi"/>
            <w:color w:val="000000" w:themeColor="text1"/>
          </w:rPr>
          <w:t>E.D.Cal</w:t>
        </w:r>
        <w:proofErr w:type="spellEnd"/>
        <w:r w:rsidRPr="00A5086E">
          <w:rPr>
            <w:rFonts w:cstheme="minorHAnsi"/>
            <w:color w:val="000000" w:themeColor="text1"/>
          </w:rPr>
          <w:t>. Apr. 20, 2016)</w:t>
        </w:r>
      </w:hyperlink>
      <w:r w:rsidRPr="00A5086E">
        <w:rPr>
          <w:rFonts w:cstheme="minorHAnsi"/>
          <w:color w:val="000000" w:themeColor="text1"/>
        </w:rPr>
        <w:t xml:space="preserve"> (concluding that the complainant’s cat was necessary to alleviate the complainant’s mental and physical ailments, based on a letter from the complainant’s physician); </w:t>
      </w:r>
      <w:hyperlink r:id="rId128" w:history="1">
        <w:r w:rsidRPr="00A5086E">
          <w:rPr>
            <w:rFonts w:cstheme="minorHAnsi"/>
            <w:i/>
            <w:iCs/>
            <w:color w:val="000000" w:themeColor="text1"/>
          </w:rPr>
          <w:t>Smith,</w:t>
        </w:r>
        <w:r w:rsidRPr="00A5086E">
          <w:rPr>
            <w:rFonts w:cstheme="minorHAnsi"/>
            <w:color w:val="000000" w:themeColor="text1"/>
          </w:rPr>
          <w:t xml:space="preserve"> 2013 WL 5786586, at *6</w:t>
        </w:r>
      </w:hyperlink>
      <w:r w:rsidRPr="00A5086E">
        <w:rPr>
          <w:rFonts w:cstheme="minorHAnsi"/>
          <w:color w:val="000000" w:themeColor="text1"/>
        </w:rPr>
        <w:t xml:space="preserve"> (holding that a letter from the complainant’s psychiatrist established a nexus between the complainant’s </w:t>
      </w:r>
      <w:hyperlink r:id="rId129" w:history="1">
        <w:r w:rsidRPr="00A5086E">
          <w:rPr>
            <w:rFonts w:cstheme="minorHAnsi"/>
            <w:color w:val="000000" w:themeColor="text1"/>
          </w:rPr>
          <w:t>mental disability</w:t>
        </w:r>
      </w:hyperlink>
      <w:r w:rsidRPr="00A5086E">
        <w:rPr>
          <w:rFonts w:cstheme="minorHAnsi"/>
          <w:color w:val="000000" w:themeColor="text1"/>
        </w:rPr>
        <w:t xml:space="preserve"> and a comfort dog); </w:t>
      </w:r>
      <w:hyperlink r:id="rId130" w:history="1">
        <w:r w:rsidRPr="00A5086E">
          <w:rPr>
            <w:rFonts w:cstheme="minorHAnsi"/>
            <w:i/>
            <w:iCs/>
            <w:color w:val="000000" w:themeColor="text1"/>
          </w:rPr>
          <w:t xml:space="preserve">The Sec’y, United States Dep’t of </w:t>
        </w:r>
        <w:proofErr w:type="spellStart"/>
        <w:r w:rsidRPr="00A5086E">
          <w:rPr>
            <w:rFonts w:cstheme="minorHAnsi"/>
            <w:i/>
            <w:iCs/>
            <w:color w:val="000000" w:themeColor="text1"/>
          </w:rPr>
          <w:t>Hous</w:t>
        </w:r>
        <w:proofErr w:type="spellEnd"/>
        <w:r w:rsidRPr="00A5086E">
          <w:rPr>
            <w:rFonts w:cstheme="minorHAnsi"/>
            <w:i/>
            <w:iCs/>
            <w:color w:val="000000" w:themeColor="text1"/>
          </w:rPr>
          <w:t>. &amp; Urban Dev., on Behalf of Durand Evan, Charging Party, Durand Evan, Intervenor,</w:t>
        </w:r>
        <w:r w:rsidRPr="00A5086E">
          <w:rPr>
            <w:rFonts w:cstheme="minorHAnsi"/>
            <w:color w:val="000000" w:themeColor="text1"/>
          </w:rPr>
          <w:t xml:space="preserve"> HUDALJ 09–93–1753–8, 1996 WL 657690, at *6 (Nov. 12, 1996)</w:t>
        </w:r>
      </w:hyperlink>
      <w:r w:rsidRPr="00A5086E">
        <w:rPr>
          <w:rFonts w:cstheme="minorHAnsi"/>
          <w:color w:val="000000" w:themeColor="text1"/>
        </w:rPr>
        <w:t xml:space="preserve"> (finding that a complainant established that waiver of a defendant’s no-pet policy was necessary based on letters from a physician and a licensed clinical social worker attesting to the therapeutic benefit of the complainant’s cat).</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Commission determined that there was a sufficient nexus based on its factual finding that Ms. Rubin suffers from </w:t>
      </w:r>
      <w:r w:rsidRPr="00A5086E">
        <w:rPr>
          <w:rFonts w:cstheme="minorHAnsi"/>
          <w:b/>
          <w:bCs/>
          <w:color w:val="000000" w:themeColor="text1"/>
        </w:rPr>
        <w:t>chronic pain</w:t>
      </w:r>
      <w:r w:rsidRPr="00A5086E">
        <w:rPr>
          <w:rFonts w:cstheme="minorHAnsi"/>
          <w:color w:val="000000" w:themeColor="text1"/>
        </w:rPr>
        <w:t xml:space="preserve"> that often makes it difficult for her to order her day. (FOF ¶ 21.) </w:t>
      </w:r>
      <w:bookmarkStart w:id="122" w:name="co_pp_sp_7691_491_1"/>
      <w:bookmarkEnd w:id="122"/>
      <w:r w:rsidRPr="00A5086E">
        <w:rPr>
          <w:rFonts w:cstheme="minorHAnsi"/>
          <w:b/>
          <w:bCs/>
          <w:color w:val="000000" w:themeColor="text1"/>
        </w:rPr>
        <w:t>*491</w:t>
      </w:r>
      <w:r w:rsidRPr="00A5086E">
        <w:rPr>
          <w:rFonts w:cstheme="minorHAnsi"/>
          <w:color w:val="000000" w:themeColor="text1"/>
        </w:rPr>
        <w:t xml:space="preserve"> According to the Commission’s findings: “Mira assists [Ms. Rubin] in ordering her day, in remembering when to take her medications, eat meals, get up and out of bed and otherwise reminding Ms. Rubin what she is supposed to be doing at any given time.” (FOF ¶ 22.) The Commission further found that “[t]he nature and quality of Ms. Rubin’s life would be materially disadvantaged if she were forced to live without an assistance animal.” (FOF ¶ 27.) Based upon these findings, the Commission determined there was a nexus between Ms. Rubin’s </w:t>
      </w:r>
      <w:r w:rsidRPr="00A5086E">
        <w:rPr>
          <w:rFonts w:cstheme="minorHAnsi"/>
          <w:b/>
          <w:bCs/>
          <w:color w:val="000000" w:themeColor="text1"/>
        </w:rPr>
        <w:t>chronic pain</w:t>
      </w:r>
      <w:r w:rsidRPr="00A5086E">
        <w:rPr>
          <w:rFonts w:cstheme="minorHAnsi"/>
          <w:color w:val="000000" w:themeColor="text1"/>
        </w:rPr>
        <w:t xml:space="preserve"> and </w:t>
      </w:r>
      <w:r w:rsidRPr="00A5086E">
        <w:rPr>
          <w:rFonts w:cstheme="minorHAnsi"/>
          <w:b/>
          <w:bCs/>
          <w:color w:val="000000" w:themeColor="text1"/>
        </w:rPr>
        <w:t>Mira’s assistance.</w:t>
      </w:r>
      <w:r w:rsidRPr="00A5086E">
        <w:rPr>
          <w:rFonts w:cstheme="minorHAnsi"/>
          <w:color w:val="000000" w:themeColor="text1"/>
        </w:rPr>
        <w:t xml:space="preserve"> The Commission thus rendered the mobility-related disability described by her physician irrelevant to their analysis. There is no reason, under the Commission’s interpretation, to require a complainant to provide a description of a disability from a physician if the disability so described is irrelevant to whether there is a disability-related need for assistance. We believe that in failing to consider whether the assistance was related to the mobility-related disability described by Ms. Rubin’s physician, and instead substituting a different disability, the </w:t>
      </w:r>
      <w:r w:rsidRPr="00A5086E">
        <w:rPr>
          <w:rFonts w:cstheme="minorHAnsi"/>
          <w:color w:val="000000" w:themeColor="text1"/>
        </w:rPr>
        <w:lastRenderedPageBreak/>
        <w:t>Commission erred.</w:t>
      </w:r>
    </w:p>
    <w:p w:rsidR="00793CB5" w:rsidRPr="00A5086E" w:rsidRDefault="00793CB5" w:rsidP="00793CB5">
      <w:pPr>
        <w:widowControl w:val="0"/>
        <w:autoSpaceDE w:val="0"/>
        <w:autoSpaceDN w:val="0"/>
        <w:adjustRightInd w:val="0"/>
        <w:jc w:val="both"/>
        <w:rPr>
          <w:rFonts w:cstheme="minorHAnsi"/>
          <w:color w:val="000000" w:themeColor="text1"/>
        </w:rPr>
      </w:pPr>
      <w:bookmarkStart w:id="123" w:name="co_anchor_I8c15342bbbe611e698dc8b09b4f04"/>
      <w:bookmarkEnd w:id="123"/>
    </w:p>
    <w:p w:rsidR="00793CB5" w:rsidRPr="00A5086E" w:rsidRDefault="00793CB5" w:rsidP="00C37C44">
      <w:pPr>
        <w:widowControl w:val="0"/>
        <w:autoSpaceDE w:val="0"/>
        <w:autoSpaceDN w:val="0"/>
        <w:adjustRightInd w:val="0"/>
        <w:rPr>
          <w:rFonts w:cstheme="minorHAnsi"/>
          <w:b/>
          <w:bCs/>
          <w:color w:val="000000" w:themeColor="text1"/>
        </w:rPr>
      </w:pPr>
      <w:r w:rsidRPr="00A5086E">
        <w:rPr>
          <w:rFonts w:cstheme="minorHAnsi"/>
          <w:b/>
          <w:bCs/>
          <w:color w:val="000000" w:themeColor="text1"/>
        </w:rPr>
        <w:t>IV. CONCLUSION</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In conclusion, because Ms. Rubin’s physician described a disability related to her mobility, and there was no evidence establishing a nexus between her mobility-related needs and the requested assistance animal, Ms. Rubin did not meet her burden of proving that it was necessary for Kennedy House to waive its no-dog policy. Accordingly, we reverse the Order of common pleas.</w:t>
      </w:r>
      <w:bookmarkStart w:id="124" w:name="co_footnoteReference_B012122039349007_ID"/>
      <w:bookmarkEnd w:id="124"/>
      <w:r w:rsidRPr="00A5086E">
        <w:rPr>
          <w:rFonts w:cstheme="minorHAnsi"/>
          <w:color w:val="000000" w:themeColor="text1"/>
        </w:rPr>
        <w:fldChar w:fldCharType="begin"/>
      </w:r>
      <w:r w:rsidRPr="00A5086E">
        <w:rPr>
          <w:rFonts w:cstheme="minorHAnsi"/>
          <w:color w:val="000000" w:themeColor="text1"/>
        </w:rPr>
        <w:instrText xml:space="preserve">HYPERLINK "#co_footnote_B012122039349007_1" </w:instrText>
      </w:r>
      <w:r w:rsidRPr="00A5086E">
        <w:rPr>
          <w:rFonts w:cstheme="minorHAnsi"/>
          <w:color w:val="000000" w:themeColor="text1"/>
        </w:rPr>
        <w:fldChar w:fldCharType="separate"/>
      </w:r>
      <w:r w:rsidRPr="00A5086E">
        <w:rPr>
          <w:rFonts w:cstheme="minorHAnsi"/>
          <w:color w:val="000000" w:themeColor="text1"/>
          <w:vertAlign w:val="superscript"/>
        </w:rPr>
        <w:t>12</w:t>
      </w:r>
      <w:r w:rsidRPr="00A5086E">
        <w:rPr>
          <w:rFonts w:cstheme="minorHAnsi"/>
          <w:color w:val="000000" w:themeColor="text1"/>
        </w:rPr>
        <w:fldChar w:fldCharType="end"/>
      </w:r>
      <w:bookmarkStart w:id="125" w:name="co_anchor_I8c15342cbbe611e698dc8b09b4f04"/>
      <w:bookmarkEnd w:id="125"/>
    </w:p>
    <w:p w:rsidR="00793CB5" w:rsidRPr="00A5086E" w:rsidRDefault="00793CB5" w:rsidP="00C37C44">
      <w:pPr>
        <w:widowControl w:val="0"/>
        <w:autoSpaceDE w:val="0"/>
        <w:autoSpaceDN w:val="0"/>
        <w:adjustRightInd w:val="0"/>
        <w:jc w:val="center"/>
        <w:rPr>
          <w:rFonts w:cstheme="minorHAnsi"/>
          <w:b/>
          <w:bCs/>
          <w:i/>
          <w:iCs/>
          <w:color w:val="000000" w:themeColor="text1"/>
        </w:rPr>
      </w:pPr>
      <w:r w:rsidRPr="00A5086E">
        <w:rPr>
          <w:rFonts w:cstheme="minorHAnsi"/>
          <w:b/>
          <w:bCs/>
          <w:i/>
          <w:iCs/>
          <w:color w:val="000000" w:themeColor="text1"/>
        </w:rPr>
        <w:t>ORDER</w:t>
      </w:r>
    </w:p>
    <w:p w:rsidR="00793CB5" w:rsidRPr="00A5086E" w:rsidRDefault="00793CB5" w:rsidP="00793CB5">
      <w:pPr>
        <w:widowControl w:val="0"/>
        <w:autoSpaceDE w:val="0"/>
        <w:autoSpaceDN w:val="0"/>
        <w:adjustRightInd w:val="0"/>
        <w:jc w:val="both"/>
        <w:rPr>
          <w:rFonts w:cstheme="minorHAnsi"/>
          <w:b/>
          <w:bCs/>
          <w:color w:val="000000" w:themeColor="text1"/>
        </w:rPr>
      </w:pPr>
      <w:r w:rsidRPr="00A5086E">
        <w:rPr>
          <w:rFonts w:cstheme="minorHAnsi"/>
          <w:color w:val="000000" w:themeColor="text1"/>
        </w:rPr>
        <w:t xml:space="preserve">NOW, this 11th day of July, 2016, the Order of the Court of Common Pleas of Philadelphia County is </w:t>
      </w:r>
      <w:r w:rsidRPr="00A5086E">
        <w:rPr>
          <w:rFonts w:cstheme="minorHAnsi"/>
          <w:b/>
          <w:bCs/>
          <w:color w:val="000000" w:themeColor="text1"/>
        </w:rPr>
        <w:t>REVERSED.</w:t>
      </w:r>
      <w:bookmarkStart w:id="126" w:name="co_dissent_opinion_1"/>
      <w:bookmarkEnd w:id="126"/>
    </w:p>
    <w:p w:rsidR="00793CB5" w:rsidRPr="00A5086E" w:rsidRDefault="00793CB5" w:rsidP="00793CB5">
      <w:pPr>
        <w:widowControl w:val="0"/>
        <w:autoSpaceDE w:val="0"/>
        <w:autoSpaceDN w:val="0"/>
        <w:adjustRightInd w:val="0"/>
        <w:spacing w:before="400"/>
        <w:jc w:val="both"/>
        <w:rPr>
          <w:rFonts w:cstheme="minorHAnsi"/>
          <w:color w:val="000000" w:themeColor="text1"/>
        </w:rPr>
      </w:pPr>
      <w:r w:rsidRPr="00A5086E">
        <w:rPr>
          <w:rFonts w:cstheme="minorHAnsi"/>
          <w:color w:val="000000" w:themeColor="text1"/>
        </w:rPr>
        <w:t xml:space="preserve">DISSENTING OPINION BY Judge </w:t>
      </w:r>
      <w:hyperlink r:id="rId131" w:history="1">
        <w:proofErr w:type="spellStart"/>
        <w:r w:rsidRPr="00A5086E">
          <w:rPr>
            <w:rFonts w:cstheme="minorHAnsi"/>
            <w:color w:val="000000" w:themeColor="text1"/>
          </w:rPr>
          <w:t>McCULLOUGH</w:t>
        </w:r>
        <w:proofErr w:type="spellEnd"/>
      </w:hyperlink>
      <w:r w:rsidRPr="00A5086E">
        <w:rPr>
          <w:rFonts w:cstheme="minorHAnsi"/>
          <w:color w:val="000000" w:themeColor="text1"/>
        </w:rPr>
        <w:t>.</w:t>
      </w:r>
      <w:bookmarkStart w:id="127" w:name="co_anchor_I8c153431bbe611e698dc8b09b4f04"/>
      <w:bookmarkEnd w:id="127"/>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I respectfully dissent because I believe that Jan Rubin, the applicant seeking a housing accommodation from the Kennedy House, Inc. (Kennedy House), presented sufficient evidence demonstrating a nexus between her disability and the assistance provided by her dog Mira.</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Section 9–1108 of the Philadelphia Fair Practice Ordinance (Ordinance) provides that “[</w:t>
      </w:r>
      <w:proofErr w:type="spellStart"/>
      <w:r w:rsidRPr="00A5086E">
        <w:rPr>
          <w:rFonts w:cstheme="minorHAnsi"/>
          <w:color w:val="000000" w:themeColor="text1"/>
        </w:rPr>
        <w:t>i</w:t>
      </w:r>
      <w:proofErr w:type="spellEnd"/>
      <w:r w:rsidRPr="00A5086E">
        <w:rPr>
          <w:rFonts w:cstheme="minorHAnsi"/>
          <w:color w:val="000000" w:themeColor="text1"/>
        </w:rPr>
        <w:t>]t shall be an unlawful housing and real property practice to deny or interfere with the housing accommodation, commercial property or other real property opportunities of an individual or otherwise discriminate based on his or her ... disability....” Phila. Code § 9–1108(1). Section 9–1102(1)(e) of the Ordinance defines “discrimination” as follows:</w:t>
      </w:r>
    </w:p>
    <w:p w:rsidR="00793CB5" w:rsidRPr="00A5086E" w:rsidRDefault="00793CB5" w:rsidP="00793CB5">
      <w:pPr>
        <w:widowControl w:val="0"/>
        <w:autoSpaceDE w:val="0"/>
        <w:autoSpaceDN w:val="0"/>
        <w:adjustRightInd w:val="0"/>
        <w:spacing w:before="250"/>
        <w:ind w:left="1000" w:right="800"/>
        <w:jc w:val="both"/>
        <w:rPr>
          <w:rFonts w:cstheme="minorHAnsi"/>
          <w:b/>
          <w:bCs/>
          <w:color w:val="000000" w:themeColor="text1"/>
        </w:rPr>
      </w:pPr>
      <w:r w:rsidRPr="00A5086E">
        <w:rPr>
          <w:rFonts w:cstheme="minorHAnsi"/>
          <w:color w:val="000000" w:themeColor="text1"/>
        </w:rPr>
        <w:t xml:space="preserve">Any direct or indirect practice of exclusion, distinction, restriction, segregation, limitation, refusal, denial, differentiation or preference in the treatment of a person on the basis of actual or perceived ... disability ... </w:t>
      </w:r>
      <w:r w:rsidRPr="00A5086E">
        <w:rPr>
          <w:rFonts w:cstheme="minorHAnsi"/>
          <w:b/>
          <w:bCs/>
          <w:color w:val="000000" w:themeColor="text1"/>
        </w:rPr>
        <w:t>or other act or practice made unlawful under this Chapter or under the nondiscrimination laws of the United States or the Commonwealth of Pennsylvania.</w:t>
      </w:r>
    </w:p>
    <w:p w:rsidR="00793CB5" w:rsidRPr="00A5086E" w:rsidRDefault="00793CB5" w:rsidP="00793CB5">
      <w:pPr>
        <w:widowControl w:val="0"/>
        <w:autoSpaceDE w:val="0"/>
        <w:autoSpaceDN w:val="0"/>
        <w:adjustRightInd w:val="0"/>
        <w:spacing w:before="200"/>
        <w:jc w:val="both"/>
        <w:rPr>
          <w:rFonts w:cstheme="minorHAnsi"/>
          <w:color w:val="000000" w:themeColor="text1"/>
        </w:rPr>
      </w:pPr>
      <w:proofErr w:type="spellStart"/>
      <w:r w:rsidRPr="00A5086E">
        <w:rPr>
          <w:rFonts w:cstheme="minorHAnsi"/>
          <w:color w:val="000000" w:themeColor="text1"/>
        </w:rPr>
        <w:t>Phila.Code</w:t>
      </w:r>
      <w:proofErr w:type="spellEnd"/>
      <w:r w:rsidRPr="00A5086E">
        <w:rPr>
          <w:rFonts w:cstheme="minorHAnsi"/>
          <w:color w:val="000000" w:themeColor="text1"/>
        </w:rPr>
        <w:t xml:space="preserve"> § 9–1102(1)(e) (emphasis added).</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Section 804(f) of Title VIII of the federal Civil Rights Act of 1968, commonly referred to as the Fair Housing Act (FHA), makes it unlawful to discriminate in the sale or rental of a dwelling against a person </w:t>
      </w:r>
      <w:bookmarkStart w:id="128" w:name="co_pp_sp_7691_492_1"/>
      <w:bookmarkEnd w:id="128"/>
      <w:r w:rsidRPr="00A5086E">
        <w:rPr>
          <w:rFonts w:cstheme="minorHAnsi"/>
          <w:b/>
          <w:bCs/>
          <w:color w:val="000000" w:themeColor="text1"/>
        </w:rPr>
        <w:t>*492</w:t>
      </w:r>
      <w:r w:rsidRPr="00A5086E">
        <w:rPr>
          <w:rFonts w:cstheme="minorHAnsi"/>
          <w:color w:val="000000" w:themeColor="text1"/>
        </w:rPr>
        <w:t xml:space="preserve"> based on a disability. </w:t>
      </w:r>
      <w:hyperlink r:id="rId132" w:anchor="co_pp_9daf00009de57" w:history="1">
        <w:r w:rsidRPr="00A5086E">
          <w:rPr>
            <w:rFonts w:cstheme="minorHAnsi"/>
            <w:color w:val="000000" w:themeColor="text1"/>
          </w:rPr>
          <w:t>42 U.S.C. §§ 3604(f)(1), (2)</w:t>
        </w:r>
      </w:hyperlink>
      <w:r w:rsidRPr="00A5086E">
        <w:rPr>
          <w:rFonts w:cstheme="minorHAnsi"/>
          <w:color w:val="000000" w:themeColor="text1"/>
        </w:rPr>
        <w:t xml:space="preserve">. Discrimination under Section 804(f) of the FHA includes “a refusal to make reasonable accommodations in rules, policies, practices, or services, when such accommodations may be necessary to afford such person equal opportunity to use and enjoy a dwelling.” </w:t>
      </w:r>
      <w:hyperlink r:id="rId133" w:anchor="co_pp_6deb0000dc6a3" w:history="1">
        <w:r w:rsidRPr="00A5086E">
          <w:rPr>
            <w:rFonts w:cstheme="minorHAnsi"/>
            <w:color w:val="000000" w:themeColor="text1"/>
          </w:rPr>
          <w:t>42 U.S.C. § 3604(f)(3)(B)</w:t>
        </w:r>
      </w:hyperlink>
      <w:r w:rsidRPr="00A5086E">
        <w:rPr>
          <w:rFonts w:cstheme="minorHAnsi"/>
          <w:color w:val="000000" w:themeColor="text1"/>
        </w:rPr>
        <w:t>.</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As the Majority recognizes, Ms. Rubin suffers from numerous conditions, including “(1) </w:t>
      </w:r>
      <w:hyperlink r:id="rId134" w:history="1">
        <w:r w:rsidRPr="00A5086E">
          <w:rPr>
            <w:rFonts w:cstheme="minorHAnsi"/>
            <w:color w:val="000000" w:themeColor="text1"/>
          </w:rPr>
          <w:t>degenerative disc disease</w:t>
        </w:r>
      </w:hyperlink>
      <w:r w:rsidRPr="00A5086E">
        <w:rPr>
          <w:rFonts w:cstheme="minorHAnsi"/>
          <w:color w:val="000000" w:themeColor="text1"/>
        </w:rPr>
        <w:t xml:space="preserve"> at multiple levels of her spine; (2) </w:t>
      </w:r>
      <w:hyperlink r:id="rId135" w:history="1">
        <w:r w:rsidRPr="00A5086E">
          <w:rPr>
            <w:rFonts w:cstheme="minorHAnsi"/>
            <w:color w:val="000000" w:themeColor="text1"/>
          </w:rPr>
          <w:t>spinal stenosis</w:t>
        </w:r>
      </w:hyperlink>
      <w:r w:rsidRPr="00A5086E">
        <w:rPr>
          <w:rFonts w:cstheme="minorHAnsi"/>
          <w:color w:val="000000" w:themeColor="text1"/>
        </w:rPr>
        <w:t xml:space="preserve"> at multiple levels of her spine; (3) </w:t>
      </w:r>
      <w:hyperlink r:id="rId136" w:history="1">
        <w:r w:rsidRPr="00A5086E">
          <w:rPr>
            <w:rFonts w:cstheme="minorHAnsi"/>
            <w:color w:val="000000" w:themeColor="text1"/>
          </w:rPr>
          <w:t>fibromyalgia</w:t>
        </w:r>
      </w:hyperlink>
      <w:r w:rsidRPr="00A5086E">
        <w:rPr>
          <w:rFonts w:cstheme="minorHAnsi"/>
          <w:color w:val="000000" w:themeColor="text1"/>
        </w:rPr>
        <w:t xml:space="preserve">; (4) chronic pain; and (5) central nervous system </w:t>
      </w:r>
      <w:hyperlink r:id="rId137" w:history="1">
        <w:r w:rsidRPr="00A5086E">
          <w:rPr>
            <w:rFonts w:cstheme="minorHAnsi"/>
            <w:color w:val="000000" w:themeColor="text1"/>
          </w:rPr>
          <w:t>sleep apnea</w:t>
        </w:r>
      </w:hyperlink>
      <w:r w:rsidRPr="00A5086E">
        <w:rPr>
          <w:rFonts w:cstheme="minorHAnsi"/>
          <w:color w:val="000000" w:themeColor="text1"/>
        </w:rPr>
        <w:t xml:space="preserve">.” (op. at 479) (citing Philadelphia Commission on Human Relations (Commission) Decision, Findings of Fact (FOF) ¶ 13). The Majority also notes that these conditions affect Ms. Rubin’s mobility and that said conditions and the pain associated therewith “often make[s] it difficult for her to order her day, to get out of bed, to remember to take her medications, and [to] do other simple tasks such as to take a shower, comb her hair[,] and get dressed.” </w:t>
      </w:r>
      <w:r w:rsidRPr="00A5086E">
        <w:rPr>
          <w:rFonts w:cstheme="minorHAnsi"/>
          <w:i/>
          <w:iCs/>
          <w:color w:val="000000" w:themeColor="text1"/>
        </w:rPr>
        <w:t>Id.</w:t>
      </w:r>
      <w:r w:rsidRPr="00A5086E">
        <w:rPr>
          <w:rFonts w:cstheme="minorHAnsi"/>
          <w:color w:val="000000" w:themeColor="text1"/>
        </w:rPr>
        <w:t xml:space="preserve"> (citing FOF ¶ 21).</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In response to a request from Kennedy House, which maintained a no-dog policy and from which she </w:t>
      </w:r>
      <w:r w:rsidRPr="00A5086E">
        <w:rPr>
          <w:rFonts w:cstheme="minorHAnsi"/>
          <w:color w:val="000000" w:themeColor="text1"/>
        </w:rPr>
        <w:lastRenderedPageBreak/>
        <w:t>sought a housing accommodation, Ms. Rubin submitted a letter from her primary care physician, Craig Wynne, M.D., stating that “[Ms.] Rubin has multiple medical issues that affect her mobility. She benefits from the support of a service dog. She currently has a dog that serves this role for her. Please consider allowing [Ms. Rubin] to keep the dog. Loss of this animal would impair her ability to function.” (Reproduced Record (R.R.) at 154.) Dr. Wynne also later submitted, again at the request of Kennedy House, a certification form verifying that Ms. Rubin was disabled and that the requested accommodation was “consistent with her needs associated with her disability.” (Certification Form, Rubin Ex. 3.)</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Ms. Rubin later explained at a Kennedy House Membership Committee meeting that her dog Mira assists her “in ordering her day, and in remembering when to take medications, eat meals, [and] get up and out of bed....” (op. at 492) (citing FOF ¶ 22). In her complaint filed with the Commission, Ms. Rubin alleged that Mira also provides her with “emotional support” when she is unable to leave the house for long periods of time. (Complaint ¶ 13.) In this complaint, Ms. Rubin also noted that Mira “would always be on a </w:t>
      </w:r>
      <w:proofErr w:type="gramStart"/>
      <w:r w:rsidRPr="00A5086E">
        <w:rPr>
          <w:rFonts w:cstheme="minorHAnsi"/>
          <w:color w:val="000000" w:themeColor="text1"/>
        </w:rPr>
        <w:t>leash[</w:t>
      </w:r>
      <w:proofErr w:type="gramEnd"/>
      <w:r w:rsidRPr="00A5086E">
        <w:rPr>
          <w:rFonts w:cstheme="minorHAnsi"/>
          <w:color w:val="000000" w:themeColor="text1"/>
        </w:rPr>
        <w:t>,] ... would avoid elevator cars with other residents[,] ... would exit through the rear entrance instead of the lobby[, and p]</w:t>
      </w:r>
      <w:proofErr w:type="spellStart"/>
      <w:r w:rsidRPr="00A5086E">
        <w:rPr>
          <w:rFonts w:cstheme="minorHAnsi"/>
          <w:color w:val="000000" w:themeColor="text1"/>
        </w:rPr>
        <w:t>ublic</w:t>
      </w:r>
      <w:proofErr w:type="spellEnd"/>
      <w:r w:rsidRPr="00A5086E">
        <w:rPr>
          <w:rFonts w:cstheme="minorHAnsi"/>
          <w:color w:val="000000" w:themeColor="text1"/>
        </w:rPr>
        <w:t xml:space="preserve"> and private areas would be kept clean and odor free.” (Complaint ¶ 35.)</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Ms. Rubin reiterated the same in her testimony before the Commission. Ms. Rubin also offered testimony from Mira’s veterinarian, Stephen Meister, D.M.V. Dr. Meister testified that he has served as Mira’s veterinarian since 2007 or 2008 and currently sees Mira at Ms. Rubin’s house. He noted that it was “well-documented” in the veterinary field that “in the elderly or disabled, emotional support animals provide tremendous help to them,” especially in studies of depression and isolation. (FOF ¶ 25; R.R. at 71.) Dr. Meister explained that support animals “provide structure” in the lives of such people and encourage them “to get up and move around and provide for the animal....” </w:t>
      </w:r>
      <w:r w:rsidRPr="00A5086E">
        <w:rPr>
          <w:rFonts w:cstheme="minorHAnsi"/>
          <w:i/>
          <w:iCs/>
          <w:color w:val="000000" w:themeColor="text1"/>
        </w:rPr>
        <w:t>Id.</w:t>
      </w:r>
      <w:r w:rsidRPr="00A5086E">
        <w:rPr>
          <w:rFonts w:cstheme="minorHAnsi"/>
          <w:color w:val="000000" w:themeColor="text1"/>
        </w:rPr>
        <w:t xml:space="preserve"> He stated that, based upon his personal observations, Ms. Rubin’s disability had significantly worsened between 2008 and 2013 and that Mira assists Ms. Rubin with “what to do in normal situations,” “lets her know when she needs to go out and when she needs to be consoled,” and requires Ms. Rubin to be “as mobile as she possibly can.” (FOF ¶ 26; R.R. at 72.)</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bookmarkStart w:id="129" w:name="co_pp_sp_7691_493_1"/>
      <w:bookmarkEnd w:id="129"/>
      <w:r w:rsidRPr="00A5086E">
        <w:rPr>
          <w:rFonts w:cstheme="minorHAnsi"/>
          <w:b/>
          <w:bCs/>
          <w:color w:val="000000" w:themeColor="text1"/>
        </w:rPr>
        <w:t>*493</w:t>
      </w:r>
      <w:r w:rsidRPr="00A5086E">
        <w:rPr>
          <w:rFonts w:cstheme="minorHAnsi"/>
          <w:color w:val="000000" w:themeColor="text1"/>
        </w:rPr>
        <w:t xml:space="preserve"> The Commission credited the testimony of Ms. Rubin and Dr. Meister,</w:t>
      </w:r>
      <w:bookmarkStart w:id="130" w:name="co_footnoteReference_B01312039349007_ID0"/>
      <w:bookmarkEnd w:id="130"/>
      <w:r w:rsidRPr="00A5086E">
        <w:rPr>
          <w:rFonts w:cstheme="minorHAnsi"/>
          <w:color w:val="000000" w:themeColor="text1"/>
        </w:rPr>
        <w:fldChar w:fldCharType="begin"/>
      </w:r>
      <w:r w:rsidRPr="00A5086E">
        <w:rPr>
          <w:rFonts w:cstheme="minorHAnsi"/>
          <w:color w:val="000000" w:themeColor="text1"/>
        </w:rPr>
        <w:instrText xml:space="preserve">HYPERLINK "#co_footnote_B01312039349007_1" </w:instrText>
      </w:r>
      <w:r w:rsidRPr="00A5086E">
        <w:rPr>
          <w:rFonts w:cstheme="minorHAnsi"/>
          <w:color w:val="000000" w:themeColor="text1"/>
        </w:rPr>
        <w:fldChar w:fldCharType="separate"/>
      </w:r>
      <w:r w:rsidRPr="00A5086E">
        <w:rPr>
          <w:rFonts w:cstheme="minorHAnsi"/>
          <w:color w:val="000000" w:themeColor="text1"/>
          <w:vertAlign w:val="superscript"/>
        </w:rPr>
        <w:t>1</w:t>
      </w:r>
      <w:r w:rsidRPr="00A5086E">
        <w:rPr>
          <w:rFonts w:cstheme="minorHAnsi"/>
          <w:color w:val="000000" w:themeColor="text1"/>
        </w:rPr>
        <w:fldChar w:fldCharType="end"/>
      </w:r>
      <w:r w:rsidRPr="00A5086E">
        <w:rPr>
          <w:rFonts w:cstheme="minorHAnsi"/>
          <w:color w:val="000000" w:themeColor="text1"/>
        </w:rPr>
        <w:t xml:space="preserve"> and concluded that “the record clearly establishes a nexus between the requested accommodation and Ms. Rubin’s disability, as the dog Mira ‘alleviates one or more identified symptoms or effects of [Ms. Rubin’s] disability.’ ” (Commission Decision, Conclusion of Law ¶ 93.) The Court of Common Pleas of Philadelphia County (trial court) adopted the decision of the Commission as its own and held that the Commission’s conclusions were based upon substantial evidence of record. I agree with the trial court that the record in this case, including the credited testimony discussed above, supports the Commission’s conclusion that Ms. Rubin established a nexus between the requested accommodation and her disability.</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However, the Majority concludes to the contrary that “there is no question that Mira does not provide assistance to Ms. Rubin directly related to her mobility; the only disability documented by Dr. Wynne.” (op. at 489–90.) I do not agree. The record establishes that Ms. Rubin has numerous, significant medical conditions, all of which contribute to her lack of mobility. Mira essentially assists Ms. Rubin in remembering to take her medications and encourages her to get out of bed and take care of herself and Mira. I would conclude that this type of support directly relates to Ms. Rubin’s mobility disability.</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Moreover, both Kennedy House and the Majority cite to the case of </w:t>
      </w:r>
      <w:hyperlink r:id="rId138" w:history="1">
        <w:r w:rsidRPr="00A5086E">
          <w:rPr>
            <w:rFonts w:cstheme="minorHAnsi"/>
            <w:i/>
            <w:iCs/>
            <w:color w:val="000000" w:themeColor="text1"/>
          </w:rPr>
          <w:t xml:space="preserve">Smith v. </w:t>
        </w:r>
        <w:proofErr w:type="spellStart"/>
        <w:r w:rsidRPr="00A5086E">
          <w:rPr>
            <w:rFonts w:cstheme="minorHAnsi"/>
            <w:i/>
            <w:iCs/>
            <w:color w:val="000000" w:themeColor="text1"/>
          </w:rPr>
          <w:t>Powdrill</w:t>
        </w:r>
        <w:proofErr w:type="spellEnd"/>
        <w:r w:rsidRPr="00A5086E">
          <w:rPr>
            <w:rFonts w:cstheme="minorHAnsi"/>
            <w:i/>
            <w:iCs/>
            <w:color w:val="000000" w:themeColor="text1"/>
          </w:rPr>
          <w:t>,</w:t>
        </w:r>
        <w:r w:rsidRPr="00A5086E">
          <w:rPr>
            <w:rFonts w:cstheme="minorHAnsi"/>
            <w:color w:val="000000" w:themeColor="text1"/>
          </w:rPr>
          <w:t xml:space="preserve"> No. CV 12–06388 </w:t>
        </w:r>
        <w:r w:rsidRPr="00A5086E">
          <w:rPr>
            <w:rFonts w:cstheme="minorHAnsi"/>
            <w:color w:val="000000" w:themeColor="text1"/>
          </w:rPr>
          <w:lastRenderedPageBreak/>
          <w:t>DDP RZX, 2013 WL 5786586 (</w:t>
        </w:r>
        <w:proofErr w:type="spellStart"/>
        <w:r w:rsidRPr="00A5086E">
          <w:rPr>
            <w:rFonts w:cstheme="minorHAnsi"/>
            <w:color w:val="000000" w:themeColor="text1"/>
          </w:rPr>
          <w:t>C.D.Cal</w:t>
        </w:r>
        <w:proofErr w:type="spellEnd"/>
        <w:r w:rsidRPr="00A5086E">
          <w:rPr>
            <w:rFonts w:cstheme="minorHAnsi"/>
            <w:color w:val="000000" w:themeColor="text1"/>
          </w:rPr>
          <w:t>. Oct. 28, 2013)</w:t>
        </w:r>
      </w:hyperlink>
      <w:r w:rsidRPr="00A5086E">
        <w:rPr>
          <w:rFonts w:cstheme="minorHAnsi"/>
          <w:color w:val="000000" w:themeColor="text1"/>
        </w:rPr>
        <w:t xml:space="preserve">, for support. In that case, the complainant, who suffered from various </w:t>
      </w:r>
      <w:hyperlink r:id="rId139" w:history="1">
        <w:r w:rsidRPr="00A5086E">
          <w:rPr>
            <w:rFonts w:cstheme="minorHAnsi"/>
            <w:color w:val="000000" w:themeColor="text1"/>
          </w:rPr>
          <w:t>mental disabilities</w:t>
        </w:r>
      </w:hyperlink>
      <w:r w:rsidRPr="00A5086E">
        <w:rPr>
          <w:rFonts w:cstheme="minorHAnsi"/>
          <w:color w:val="000000" w:themeColor="text1"/>
        </w:rPr>
        <w:t xml:space="preserve">, sought a waiver of the defendant’s no-pet rule as an accommodation for the same. Similar to Ms. Rubin, the complainant asserted that her companion dog helped her keep “a regular routine of caring for [her]self, motivates [her] to get out of bed, clean, maintain relationships with friends and family, and to exercise.” </w:t>
      </w:r>
      <w:r w:rsidRPr="00A5086E">
        <w:rPr>
          <w:rFonts w:cstheme="minorHAnsi"/>
          <w:i/>
          <w:iCs/>
          <w:color w:val="000000" w:themeColor="text1"/>
        </w:rPr>
        <w:t>Id.</w:t>
      </w:r>
      <w:r w:rsidRPr="00A5086E">
        <w:rPr>
          <w:rFonts w:cstheme="minorHAnsi"/>
          <w:color w:val="000000" w:themeColor="text1"/>
        </w:rPr>
        <w:t xml:space="preserve"> at *1. The complainant submitted a letter from her psychiatrist verifying these disabilities, which inhibited her “ability to take care of herself, get out of bed, interact with others and remain focused,” </w:t>
      </w:r>
      <w:r w:rsidRPr="00A5086E">
        <w:rPr>
          <w:rFonts w:cstheme="minorHAnsi"/>
          <w:i/>
          <w:iCs/>
          <w:color w:val="000000" w:themeColor="text1"/>
        </w:rPr>
        <w:t>id.</w:t>
      </w:r>
      <w:r w:rsidRPr="00A5086E">
        <w:rPr>
          <w:rFonts w:cstheme="minorHAnsi"/>
          <w:color w:val="000000" w:themeColor="text1"/>
        </w:rPr>
        <w:t xml:space="preserve"> at *5, and her need for a support animal. The court in that case concluded that the complainant had met her burden of establishing that the reasonable accommodation was necessary.</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Kennedy House and the Majority seem to imply that “caring for oneself and keeping a regular routine,” (op. at 488), are strictly related to a psychological disability and require proof thereof in order to establish the necessary nexus for an accommodation. However, I do not believe that the nature of the disability, i.e., mental or physical, is controlling. In other words, it should not matter whether a person needs an accommodation for a mental or physical disability. Rather, the question in these cases is nexus and the sufficiency of the evidence presented by the person seeking the accommodation. In this case, both the Commission and the trial court concluded that Ms. Rubin had presented sufficient evidence to meet her burden and the record supports this conclusion.</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 </w:t>
      </w:r>
    </w:p>
    <w:p w:rsidR="00793CB5" w:rsidRPr="00A5086E" w:rsidRDefault="00793CB5" w:rsidP="00793CB5">
      <w:pPr>
        <w:widowControl w:val="0"/>
        <w:autoSpaceDE w:val="0"/>
        <w:autoSpaceDN w:val="0"/>
        <w:adjustRightInd w:val="0"/>
        <w:jc w:val="both"/>
        <w:rPr>
          <w:rFonts w:cstheme="minorHAnsi"/>
          <w:color w:val="000000" w:themeColor="text1"/>
        </w:rPr>
      </w:pPr>
      <w:r w:rsidRPr="00A5086E">
        <w:rPr>
          <w:rFonts w:cstheme="minorHAnsi"/>
          <w:color w:val="000000" w:themeColor="text1"/>
        </w:rPr>
        <w:t>Hence, I would affirm the order of the trial court denying Kennedy House’s statutory appeal.</w:t>
      </w:r>
    </w:p>
    <w:p w:rsidR="00793CB5" w:rsidRPr="00A5086E" w:rsidRDefault="00793CB5" w:rsidP="00793CB5">
      <w:pPr>
        <w:widowControl w:val="0"/>
        <w:autoSpaceDE w:val="0"/>
        <w:autoSpaceDN w:val="0"/>
        <w:adjustRightInd w:val="0"/>
        <w:spacing w:before="200"/>
        <w:jc w:val="both"/>
        <w:rPr>
          <w:rFonts w:cstheme="minorHAnsi"/>
          <w:b/>
          <w:bCs/>
          <w:color w:val="000000" w:themeColor="text1"/>
        </w:rPr>
      </w:pPr>
      <w:bookmarkStart w:id="131" w:name="co_allCitations_1"/>
      <w:bookmarkEnd w:id="131"/>
      <w:r w:rsidRPr="00A5086E">
        <w:rPr>
          <w:rFonts w:cstheme="minorHAnsi"/>
          <w:b/>
          <w:bCs/>
          <w:color w:val="000000" w:themeColor="text1"/>
        </w:rPr>
        <w:t>All Citations</w:t>
      </w:r>
    </w:p>
    <w:p w:rsidR="00793CB5" w:rsidRPr="00A5086E" w:rsidRDefault="00793CB5" w:rsidP="00C37C44">
      <w:pPr>
        <w:widowControl w:val="0"/>
        <w:autoSpaceDE w:val="0"/>
        <w:autoSpaceDN w:val="0"/>
        <w:adjustRightInd w:val="0"/>
        <w:jc w:val="both"/>
        <w:rPr>
          <w:rFonts w:cstheme="minorHAnsi"/>
          <w:color w:val="000000" w:themeColor="text1"/>
        </w:rPr>
      </w:pPr>
      <w:r w:rsidRPr="00A5086E">
        <w:rPr>
          <w:rFonts w:cstheme="minorHAnsi"/>
          <w:color w:val="000000" w:themeColor="text1"/>
        </w:rPr>
        <w:t>143 A.3d 476</w:t>
      </w:r>
    </w:p>
    <w:tbl>
      <w:tblPr>
        <w:tblW w:w="0" w:type="auto"/>
        <w:tblLayout w:type="fixed"/>
        <w:tblCellMar>
          <w:left w:w="0" w:type="dxa"/>
          <w:right w:w="0" w:type="dxa"/>
        </w:tblCellMar>
        <w:tblLook w:val="0000" w:firstRow="0" w:lastRow="0" w:firstColumn="0" w:lastColumn="0" w:noHBand="0" w:noVBand="0"/>
      </w:tblPr>
      <w:tblGrid>
        <w:gridCol w:w="600"/>
        <w:gridCol w:w="9480"/>
      </w:tblGrid>
      <w:tr w:rsidR="00793CB5" w:rsidRPr="00A5086E" w:rsidTr="00A7527B">
        <w:tc>
          <w:tcPr>
            <w:tcW w:w="10080" w:type="dxa"/>
            <w:gridSpan w:val="2"/>
            <w:tcBorders>
              <w:top w:val="nil"/>
              <w:left w:val="nil"/>
              <w:bottom w:val="nil"/>
              <w:right w:val="nil"/>
            </w:tcBorders>
            <w:tcMar>
              <w:top w:w="200" w:type="dxa"/>
            </w:tcMar>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t>Footnotes</w:t>
            </w:r>
          </w:p>
          <w:p w:rsidR="00793CB5" w:rsidRPr="00A5086E" w:rsidRDefault="00793CB5" w:rsidP="00A7527B">
            <w:pPr>
              <w:widowControl w:val="0"/>
              <w:autoSpaceDE w:val="0"/>
              <w:autoSpaceDN w:val="0"/>
              <w:adjustRightInd w:val="0"/>
              <w:rPr>
                <w:rFonts w:cstheme="minorHAnsi"/>
                <w:color w:val="000000" w:themeColor="text1"/>
              </w:rPr>
            </w:pPr>
          </w:p>
        </w:tc>
      </w:tr>
      <w:bookmarkStart w:id="132" w:name="co_footnote_B00112039349007_1"/>
      <w:bookmarkEnd w:id="132"/>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"#co_footnoteReference_B00112039349007_ID0" </w:instrText>
            </w:r>
            <w:r w:rsidRPr="00A5086E">
              <w:rPr>
                <w:rFonts w:cstheme="minorHAnsi"/>
                <w:color w:val="000000" w:themeColor="text1"/>
              </w:rPr>
              <w:fldChar w:fldCharType="separate"/>
            </w:r>
            <w:r w:rsidRPr="00A5086E">
              <w:rPr>
                <w:rFonts w:cstheme="minorHAnsi"/>
                <w:color w:val="000000" w:themeColor="text1"/>
                <w:vertAlign w:val="superscript"/>
              </w:rPr>
              <w:t>1</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Ms. Rubin’s testimony at the March 21, 2014 hearing of the Commission is found at pages 78–125 of the Reproduced Record.</w:t>
            </w:r>
          </w:p>
          <w:p w:rsidR="00793CB5" w:rsidRPr="00A5086E" w:rsidRDefault="00793CB5" w:rsidP="00A7527B">
            <w:pPr>
              <w:widowControl w:val="0"/>
              <w:autoSpaceDE w:val="0"/>
              <w:autoSpaceDN w:val="0"/>
              <w:adjustRightInd w:val="0"/>
              <w:jc w:val="both"/>
              <w:rPr>
                <w:rFonts w:cstheme="minorHAnsi"/>
                <w:color w:val="000000" w:themeColor="text1"/>
              </w:rPr>
            </w:pPr>
          </w:p>
        </w:tc>
      </w:tr>
      <w:bookmarkStart w:id="133" w:name="co_footnote_B00222039349007_1"/>
      <w:bookmarkEnd w:id="133"/>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"#co_footnoteReference_B00222039349007_ID0" </w:instrText>
            </w:r>
            <w:r w:rsidRPr="00A5086E">
              <w:rPr>
                <w:rFonts w:cstheme="minorHAnsi"/>
                <w:color w:val="000000" w:themeColor="text1"/>
              </w:rPr>
              <w:fldChar w:fldCharType="separate"/>
            </w:r>
            <w:r w:rsidRPr="00A5086E">
              <w:rPr>
                <w:rFonts w:cstheme="minorHAnsi"/>
                <w:color w:val="000000" w:themeColor="text1"/>
                <w:vertAlign w:val="superscript"/>
              </w:rPr>
              <w:t>2</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Dr. Meister’s testimony at the March 21, 2014 hearing of the Commission is found at pages 67–78 of the Reproduced Record.</w:t>
            </w:r>
          </w:p>
          <w:p w:rsidR="00793CB5" w:rsidRPr="00A5086E" w:rsidRDefault="00793CB5" w:rsidP="00A7527B">
            <w:pPr>
              <w:widowControl w:val="0"/>
              <w:autoSpaceDE w:val="0"/>
              <w:autoSpaceDN w:val="0"/>
              <w:adjustRightInd w:val="0"/>
              <w:jc w:val="both"/>
              <w:rPr>
                <w:rFonts w:cstheme="minorHAnsi"/>
                <w:color w:val="000000" w:themeColor="text1"/>
              </w:rPr>
            </w:pPr>
          </w:p>
        </w:tc>
      </w:tr>
      <w:bookmarkStart w:id="134" w:name="co_footnote_B00332039349007_1"/>
      <w:bookmarkEnd w:id="134"/>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"#co_footnoteReference_B00332039349007_ID0" </w:instrText>
            </w:r>
            <w:r w:rsidRPr="00A5086E">
              <w:rPr>
                <w:rFonts w:cstheme="minorHAnsi"/>
                <w:color w:val="000000" w:themeColor="text1"/>
              </w:rPr>
              <w:fldChar w:fldCharType="separate"/>
            </w:r>
            <w:r w:rsidRPr="00A5086E">
              <w:rPr>
                <w:rFonts w:cstheme="minorHAnsi"/>
                <w:color w:val="000000" w:themeColor="text1"/>
                <w:vertAlign w:val="superscript"/>
              </w:rPr>
              <w:t>3</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Mr. Giblin’s testimony at the March 21, 2014 hearing of the Commission is found at pages 129–141 of the Reproduced Record.</w:t>
            </w:r>
          </w:p>
          <w:p w:rsidR="00793CB5" w:rsidRPr="00A5086E" w:rsidRDefault="00793CB5" w:rsidP="00A7527B">
            <w:pPr>
              <w:widowControl w:val="0"/>
              <w:autoSpaceDE w:val="0"/>
              <w:autoSpaceDN w:val="0"/>
              <w:adjustRightInd w:val="0"/>
              <w:jc w:val="both"/>
              <w:rPr>
                <w:rFonts w:cstheme="minorHAnsi"/>
                <w:color w:val="000000" w:themeColor="text1"/>
              </w:rPr>
            </w:pPr>
          </w:p>
        </w:tc>
      </w:tr>
      <w:bookmarkStart w:id="135" w:name="co_footnote_B00442039349007_1"/>
      <w:bookmarkEnd w:id="135"/>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"#co_footnoteReference_B00442039349007_ID0" </w:instrText>
            </w:r>
            <w:r w:rsidRPr="00A5086E">
              <w:rPr>
                <w:rFonts w:cstheme="minorHAnsi"/>
                <w:color w:val="000000" w:themeColor="text1"/>
              </w:rPr>
              <w:fldChar w:fldCharType="separate"/>
            </w:r>
            <w:r w:rsidRPr="00A5086E">
              <w:rPr>
                <w:rFonts w:cstheme="minorHAnsi"/>
                <w:color w:val="000000" w:themeColor="text1"/>
                <w:vertAlign w:val="superscript"/>
              </w:rPr>
              <w:t>4</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A “Housing Accommodation” is defined by the Ordinance as:</w:t>
            </w:r>
          </w:p>
          <w:p w:rsidR="00793CB5" w:rsidRPr="00A5086E" w:rsidRDefault="00793CB5" w:rsidP="00A7527B">
            <w:pPr>
              <w:widowControl w:val="0"/>
              <w:autoSpaceDE w:val="0"/>
              <w:autoSpaceDN w:val="0"/>
              <w:adjustRightInd w:val="0"/>
              <w:ind w:left="360"/>
              <w:jc w:val="both"/>
              <w:rPr>
                <w:rFonts w:cstheme="minorHAnsi"/>
                <w:color w:val="000000" w:themeColor="text1"/>
              </w:rPr>
            </w:pPr>
            <w:r w:rsidRPr="00A5086E">
              <w:rPr>
                <w:rFonts w:cstheme="minorHAnsi"/>
                <w:color w:val="000000" w:themeColor="text1"/>
              </w:rPr>
              <w:t>Any building, structure or portion thereof which is used or occupied or is intended, arranged or designed to be used or occupied as the home residence or sleeping place of one or more individuals, groups, or families, and any vacant land offered for sale or lease or held for the purpose of constructing or locating thereon any such building, structure or portion thereof.</w:t>
            </w:r>
          </w:p>
          <w:p w:rsidR="00793CB5" w:rsidRPr="00A5086E" w:rsidRDefault="00793CB5" w:rsidP="00A7527B">
            <w:pPr>
              <w:widowControl w:val="0"/>
              <w:autoSpaceDE w:val="0"/>
              <w:autoSpaceDN w:val="0"/>
              <w:adjustRightInd w:val="0"/>
              <w:ind w:left="180"/>
              <w:jc w:val="both"/>
              <w:rPr>
                <w:rFonts w:cstheme="minorHAnsi"/>
                <w:color w:val="000000" w:themeColor="text1"/>
              </w:rPr>
            </w:pPr>
            <w:proofErr w:type="spellStart"/>
            <w:r w:rsidRPr="00A5086E">
              <w:rPr>
                <w:rFonts w:cstheme="minorHAnsi"/>
                <w:color w:val="000000" w:themeColor="text1"/>
              </w:rPr>
              <w:t>Phila.Code</w:t>
            </w:r>
            <w:proofErr w:type="spellEnd"/>
            <w:r w:rsidRPr="00A5086E">
              <w:rPr>
                <w:rFonts w:cstheme="minorHAnsi"/>
                <w:color w:val="000000" w:themeColor="text1"/>
              </w:rPr>
              <w:t xml:space="preserve"> § 9–1102(n).</w:t>
            </w:r>
          </w:p>
          <w:p w:rsidR="00793CB5" w:rsidRPr="00A5086E" w:rsidRDefault="00793CB5" w:rsidP="00A7527B">
            <w:pPr>
              <w:widowControl w:val="0"/>
              <w:autoSpaceDE w:val="0"/>
              <w:autoSpaceDN w:val="0"/>
              <w:adjustRightInd w:val="0"/>
              <w:ind w:left="180"/>
              <w:jc w:val="both"/>
              <w:rPr>
                <w:rFonts w:cstheme="minorHAnsi"/>
                <w:color w:val="000000" w:themeColor="text1"/>
              </w:rPr>
            </w:pPr>
          </w:p>
        </w:tc>
      </w:tr>
      <w:bookmarkStart w:id="136" w:name="co_footnote_B00552039349007_1"/>
      <w:bookmarkEnd w:id="136"/>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"#co_footnoteReference_B00552039349007_ID0" </w:instrText>
            </w:r>
            <w:r w:rsidRPr="00A5086E">
              <w:rPr>
                <w:rFonts w:cstheme="minorHAnsi"/>
                <w:color w:val="000000" w:themeColor="text1"/>
              </w:rPr>
              <w:fldChar w:fldCharType="separate"/>
            </w:r>
            <w:r w:rsidRPr="00A5086E">
              <w:rPr>
                <w:rFonts w:cstheme="minorHAnsi"/>
                <w:color w:val="000000" w:themeColor="text1"/>
                <w:vertAlign w:val="superscript"/>
              </w:rPr>
              <w:t>5</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original FHA did not include provisions addressing discrimination based on a disability. However, Section 6(a) of the Fair Housing Amendment Act of 1988 amended Title VIII of the Civil Rights Act of 1968, </w:t>
            </w:r>
            <w:hyperlink r:id="rId140" w:history="1">
              <w:r w:rsidRPr="00A5086E">
                <w:rPr>
                  <w:rFonts w:cstheme="minorHAnsi"/>
                  <w:color w:val="000000" w:themeColor="text1"/>
                </w:rPr>
                <w:t>42 U.S.C. §§ 3601</w:t>
              </w:r>
            </w:hyperlink>
            <w:r w:rsidRPr="00A5086E">
              <w:rPr>
                <w:rFonts w:cstheme="minorHAnsi"/>
                <w:color w:val="000000" w:themeColor="text1"/>
              </w:rPr>
              <w:t>–</w:t>
            </w:r>
            <w:hyperlink r:id="rId141" w:history="1">
              <w:r w:rsidRPr="00A5086E">
                <w:rPr>
                  <w:rFonts w:cstheme="minorHAnsi"/>
                  <w:color w:val="000000" w:themeColor="text1"/>
                </w:rPr>
                <w:t>3631</w:t>
              </w:r>
            </w:hyperlink>
            <w:r w:rsidRPr="00A5086E">
              <w:rPr>
                <w:rFonts w:cstheme="minorHAnsi"/>
                <w:color w:val="000000" w:themeColor="text1"/>
              </w:rPr>
              <w:t>, by adding subsection 804(f) prohibiting discrimination based on disability.</w:t>
            </w:r>
          </w:p>
          <w:p w:rsidR="00793CB5" w:rsidRPr="00A5086E" w:rsidRDefault="00793CB5" w:rsidP="00A7527B">
            <w:pPr>
              <w:widowControl w:val="0"/>
              <w:autoSpaceDE w:val="0"/>
              <w:autoSpaceDN w:val="0"/>
              <w:adjustRightInd w:val="0"/>
              <w:jc w:val="both"/>
              <w:rPr>
                <w:rFonts w:cstheme="minorHAnsi"/>
                <w:color w:val="000000" w:themeColor="text1"/>
              </w:rPr>
            </w:pPr>
          </w:p>
        </w:tc>
      </w:tr>
      <w:bookmarkStart w:id="137" w:name="co_footnote_B00662039349007_1"/>
      <w:bookmarkEnd w:id="137"/>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"#co_footnoteReference_B00662039349007_ID0" </w:instrText>
            </w:r>
            <w:r w:rsidRPr="00A5086E">
              <w:rPr>
                <w:rFonts w:cstheme="minorHAnsi"/>
                <w:color w:val="000000" w:themeColor="text1"/>
              </w:rPr>
              <w:fldChar w:fldCharType="separate"/>
            </w:r>
            <w:r w:rsidRPr="00A5086E">
              <w:rPr>
                <w:rFonts w:cstheme="minorHAnsi"/>
                <w:color w:val="000000" w:themeColor="text1"/>
                <w:vertAlign w:val="superscript"/>
              </w:rPr>
              <w:t>6</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lastRenderedPageBreak/>
              <w:t xml:space="preserve">Reflecting the times in which it was enacted, the FHA refers to discrimination based on “handicap” </w:t>
            </w:r>
            <w:r w:rsidRPr="00A5086E">
              <w:rPr>
                <w:rFonts w:cstheme="minorHAnsi"/>
                <w:color w:val="000000" w:themeColor="text1"/>
              </w:rPr>
              <w:lastRenderedPageBreak/>
              <w:t xml:space="preserve">rather than “disability.” “Disability scholars, however, generally prefer the term ‘disability’ to handicap, and the Americans with Disabilities Act ..., </w:t>
            </w:r>
            <w:hyperlink r:id="rId142" w:history="1">
              <w:r w:rsidRPr="00A5086E">
                <w:rPr>
                  <w:rFonts w:cstheme="minorHAnsi"/>
                  <w:color w:val="000000" w:themeColor="text1"/>
                </w:rPr>
                <w:t>42 U.S.C. §§ 12101</w:t>
              </w:r>
            </w:hyperlink>
            <w:r w:rsidRPr="00A5086E">
              <w:rPr>
                <w:rFonts w:cstheme="minorHAnsi"/>
                <w:color w:val="000000" w:themeColor="text1"/>
              </w:rPr>
              <w:t>–</w:t>
            </w:r>
            <w:hyperlink r:id="rId143" w:history="1">
              <w:r w:rsidRPr="00A5086E">
                <w:rPr>
                  <w:rFonts w:cstheme="minorHAnsi"/>
                  <w:color w:val="000000" w:themeColor="text1"/>
                </w:rPr>
                <w:t>12213</w:t>
              </w:r>
            </w:hyperlink>
            <w:r w:rsidRPr="00A5086E">
              <w:rPr>
                <w:rFonts w:cstheme="minorHAnsi"/>
                <w:color w:val="000000" w:themeColor="text1"/>
              </w:rPr>
              <w:t xml:space="preserve"> ..., reflects that preference.” </w:t>
            </w:r>
            <w:hyperlink r:id="rId144" w:anchor="co_pp_sp_506_1285" w:history="1">
              <w:proofErr w:type="spellStart"/>
              <w:r w:rsidRPr="00A5086E">
                <w:rPr>
                  <w:rFonts w:cstheme="minorHAnsi"/>
                  <w:i/>
                  <w:iCs/>
                  <w:color w:val="000000" w:themeColor="text1"/>
                </w:rPr>
                <w:t>Bhogaita</w:t>
              </w:r>
              <w:proofErr w:type="spellEnd"/>
              <w:r w:rsidRPr="00A5086E">
                <w:rPr>
                  <w:rFonts w:cstheme="minorHAnsi"/>
                  <w:i/>
                  <w:iCs/>
                  <w:color w:val="000000" w:themeColor="text1"/>
                </w:rPr>
                <w:t xml:space="preserve"> v. Altamonte Heights Condo. </w:t>
              </w:r>
              <w:proofErr w:type="spellStart"/>
              <w:r w:rsidRPr="00A5086E">
                <w:rPr>
                  <w:rFonts w:cstheme="minorHAnsi"/>
                  <w:i/>
                  <w:iCs/>
                  <w:color w:val="000000" w:themeColor="text1"/>
                </w:rPr>
                <w:t>Ass’n</w:t>
              </w:r>
              <w:proofErr w:type="spellEnd"/>
              <w:r w:rsidRPr="00A5086E">
                <w:rPr>
                  <w:rFonts w:cstheme="minorHAnsi"/>
                  <w:i/>
                  <w:iCs/>
                  <w:color w:val="000000" w:themeColor="text1"/>
                </w:rPr>
                <w:t>, Inc.,</w:t>
              </w:r>
              <w:r w:rsidRPr="00A5086E">
                <w:rPr>
                  <w:rFonts w:cstheme="minorHAnsi"/>
                  <w:color w:val="000000" w:themeColor="text1"/>
                </w:rPr>
                <w:t xml:space="preserve"> 765 F.3d 1277, 1285 n. 2 (11th Cir.2014)</w:t>
              </w:r>
            </w:hyperlink>
            <w:r w:rsidRPr="00A5086E">
              <w:rPr>
                <w:rFonts w:cstheme="minorHAnsi"/>
                <w:color w:val="000000" w:themeColor="text1"/>
              </w:rPr>
              <w:t>. For this reason, we elect to use “disability” instead of handicap when possible.</w:t>
            </w:r>
          </w:p>
          <w:p w:rsidR="00793CB5" w:rsidRPr="00A5086E" w:rsidRDefault="00793CB5" w:rsidP="00A7527B">
            <w:pPr>
              <w:widowControl w:val="0"/>
              <w:autoSpaceDE w:val="0"/>
              <w:autoSpaceDN w:val="0"/>
              <w:adjustRightInd w:val="0"/>
              <w:jc w:val="both"/>
              <w:rPr>
                <w:rFonts w:cstheme="minorHAnsi"/>
                <w:color w:val="000000" w:themeColor="text1"/>
              </w:rPr>
            </w:pPr>
          </w:p>
        </w:tc>
      </w:tr>
      <w:bookmarkStart w:id="138" w:name="co_footnote_B00772039349007_1"/>
      <w:bookmarkEnd w:id="138"/>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lastRenderedPageBreak/>
              <w:fldChar w:fldCharType="begin"/>
            </w:r>
            <w:r w:rsidRPr="00A5086E">
              <w:rPr>
                <w:rFonts w:cstheme="minorHAnsi"/>
                <w:color w:val="000000" w:themeColor="text1"/>
              </w:rPr>
              <w:instrText xml:space="preserve">HYPERLINK "#co_footnoteReference_B00772039349007_ID0" </w:instrText>
            </w:r>
            <w:r w:rsidRPr="00A5086E">
              <w:rPr>
                <w:rFonts w:cstheme="minorHAnsi"/>
                <w:color w:val="000000" w:themeColor="text1"/>
              </w:rPr>
              <w:fldChar w:fldCharType="separate"/>
            </w:r>
            <w:r w:rsidRPr="00A5086E">
              <w:rPr>
                <w:rFonts w:cstheme="minorHAnsi"/>
                <w:color w:val="000000" w:themeColor="text1"/>
                <w:vertAlign w:val="superscript"/>
              </w:rPr>
              <w:t>7</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Our scope of review where the trial court did not take its own evidence is:</w:t>
            </w:r>
          </w:p>
          <w:p w:rsidR="00793CB5" w:rsidRPr="00A5086E" w:rsidRDefault="00793CB5" w:rsidP="00A7527B">
            <w:pPr>
              <w:widowControl w:val="0"/>
              <w:autoSpaceDE w:val="0"/>
              <w:autoSpaceDN w:val="0"/>
              <w:adjustRightInd w:val="0"/>
              <w:ind w:left="360"/>
              <w:jc w:val="both"/>
              <w:rPr>
                <w:rFonts w:cstheme="minorHAnsi"/>
                <w:color w:val="000000" w:themeColor="text1"/>
              </w:rPr>
            </w:pPr>
            <w:r w:rsidRPr="00A5086E">
              <w:rPr>
                <w:rFonts w:cstheme="minorHAnsi"/>
                <w:color w:val="000000" w:themeColor="text1"/>
              </w:rPr>
              <w:t>limited to a determination of whether there was a violation of constitutional rights, an error of law, or ... the findings of fact necessary to support the adjudication are supported by substantial evidence. The task of weighing the evidence, both direct and circumstantial, to credit and discredit testimony, to draw inferences and make ultimate findings of fact as to whether a violation of the [Philadelphia] Code occurred is for the Commission. In addition, judicial discretion may not be substituted for administrative discretion, absent bad faith, fraud, capricious action or abuse of power by the Commission.</w:t>
            </w:r>
          </w:p>
          <w:p w:rsidR="00793CB5" w:rsidRPr="00A5086E" w:rsidRDefault="00A82B37" w:rsidP="00A7527B">
            <w:pPr>
              <w:widowControl w:val="0"/>
              <w:autoSpaceDE w:val="0"/>
              <w:autoSpaceDN w:val="0"/>
              <w:adjustRightInd w:val="0"/>
              <w:ind w:left="180"/>
              <w:jc w:val="both"/>
              <w:rPr>
                <w:rFonts w:cstheme="minorHAnsi"/>
                <w:color w:val="000000" w:themeColor="text1"/>
              </w:rPr>
            </w:pPr>
            <w:hyperlink r:id="rId145" w:anchor="co_pp_sp_162_589" w:history="1">
              <w:r w:rsidR="00793CB5" w:rsidRPr="00A5086E">
                <w:rPr>
                  <w:rFonts w:cstheme="minorHAnsi"/>
                  <w:i/>
                  <w:iCs/>
                  <w:color w:val="000000" w:themeColor="text1"/>
                </w:rPr>
                <w:t xml:space="preserve">City of Pittsburgh Comm’n on Human Relations v. </w:t>
              </w:r>
              <w:proofErr w:type="spellStart"/>
              <w:r w:rsidR="00793CB5" w:rsidRPr="00A5086E">
                <w:rPr>
                  <w:rFonts w:cstheme="minorHAnsi"/>
                  <w:i/>
                  <w:iCs/>
                  <w:color w:val="000000" w:themeColor="text1"/>
                </w:rPr>
                <w:t>DeFelice</w:t>
              </w:r>
              <w:proofErr w:type="spellEnd"/>
              <w:r w:rsidR="00793CB5" w:rsidRPr="00A5086E">
                <w:rPr>
                  <w:rFonts w:cstheme="minorHAnsi"/>
                  <w:i/>
                  <w:iCs/>
                  <w:color w:val="000000" w:themeColor="text1"/>
                </w:rPr>
                <w:t>,</w:t>
              </w:r>
              <w:r w:rsidR="00793CB5" w:rsidRPr="00A5086E">
                <w:rPr>
                  <w:rFonts w:cstheme="minorHAnsi"/>
                  <w:color w:val="000000" w:themeColor="text1"/>
                </w:rPr>
                <w:t xml:space="preserve"> 782 A.2d 586, 589 (</w:t>
              </w:r>
              <w:proofErr w:type="gramStart"/>
              <w:r w:rsidR="00793CB5" w:rsidRPr="00A5086E">
                <w:rPr>
                  <w:rFonts w:cstheme="minorHAnsi"/>
                  <w:color w:val="000000" w:themeColor="text1"/>
                </w:rPr>
                <w:t>Pa.Cmwlth</w:t>
              </w:r>
              <w:proofErr w:type="gramEnd"/>
              <w:r w:rsidR="00793CB5" w:rsidRPr="00A5086E">
                <w:rPr>
                  <w:rFonts w:cstheme="minorHAnsi"/>
                  <w:color w:val="000000" w:themeColor="text1"/>
                </w:rPr>
                <w:t>.2001)</w:t>
              </w:r>
            </w:hyperlink>
            <w:r w:rsidR="00793CB5" w:rsidRPr="00A5086E">
              <w:rPr>
                <w:rFonts w:cstheme="minorHAnsi"/>
                <w:color w:val="000000" w:themeColor="text1"/>
              </w:rPr>
              <w:t xml:space="preserve"> (citations omitted).</w:t>
            </w:r>
          </w:p>
          <w:p w:rsidR="00793CB5" w:rsidRPr="00A5086E" w:rsidRDefault="00793CB5" w:rsidP="00A7527B">
            <w:pPr>
              <w:widowControl w:val="0"/>
              <w:autoSpaceDE w:val="0"/>
              <w:autoSpaceDN w:val="0"/>
              <w:adjustRightInd w:val="0"/>
              <w:ind w:left="180"/>
              <w:jc w:val="both"/>
              <w:rPr>
                <w:rFonts w:cstheme="minorHAnsi"/>
                <w:color w:val="000000" w:themeColor="text1"/>
              </w:rPr>
            </w:pPr>
          </w:p>
        </w:tc>
      </w:tr>
      <w:bookmarkStart w:id="139" w:name="co_footnote_B00882039349007_1"/>
      <w:bookmarkEnd w:id="139"/>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"#co_footnoteReference_B00882039349007_ID0" </w:instrText>
            </w:r>
            <w:r w:rsidRPr="00A5086E">
              <w:rPr>
                <w:rFonts w:cstheme="minorHAnsi"/>
                <w:color w:val="000000" w:themeColor="text1"/>
              </w:rPr>
              <w:fldChar w:fldCharType="separate"/>
            </w:r>
            <w:r w:rsidRPr="00A5086E">
              <w:rPr>
                <w:rFonts w:cstheme="minorHAnsi"/>
                <w:color w:val="000000" w:themeColor="text1"/>
                <w:vertAlign w:val="superscript"/>
              </w:rPr>
              <w:t>8</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As discussed above, the Commission concluded that Kennedy House did not meet its burden to produce evidence that the requested accommodation was unreasonable. Amici attempt to meet the burden by submitting facts and arguments. Amici argue that the failure to raise the issues below is excusable because counsel for Kennedy House was appointed by Kennedy House’s insurance company and did not involve the residents. Further, amici argue that the failure to put forth proof on the reasonableness of the proposed accommodation is excusable because “[c]</w:t>
            </w:r>
            <w:proofErr w:type="spellStart"/>
            <w:r w:rsidRPr="00A5086E">
              <w:rPr>
                <w:rFonts w:cstheme="minorHAnsi"/>
                <w:color w:val="000000" w:themeColor="text1"/>
              </w:rPr>
              <w:t>ounsel</w:t>
            </w:r>
            <w:proofErr w:type="spellEnd"/>
            <w:r w:rsidRPr="00A5086E">
              <w:rPr>
                <w:rFonts w:cstheme="minorHAnsi"/>
                <w:color w:val="000000" w:themeColor="text1"/>
              </w:rPr>
              <w:t xml:space="preserve"> was blind-sided when the Commission re-wrote the [O]</w:t>
            </w:r>
            <w:proofErr w:type="spellStart"/>
            <w:r w:rsidRPr="00A5086E">
              <w:rPr>
                <w:rFonts w:cstheme="minorHAnsi"/>
                <w:color w:val="000000" w:themeColor="text1"/>
              </w:rPr>
              <w:t>rdinance</w:t>
            </w:r>
            <w:proofErr w:type="spellEnd"/>
            <w:r w:rsidRPr="00A5086E">
              <w:rPr>
                <w:rFonts w:cstheme="minorHAnsi"/>
                <w:color w:val="000000" w:themeColor="text1"/>
              </w:rPr>
              <w:t>, and engrafted a relatively recent development in disability law—equating ‘comfort dogs’ with ‘service dogs.</w:t>
            </w:r>
            <w:proofErr w:type="gramStart"/>
            <w:r w:rsidRPr="00A5086E">
              <w:rPr>
                <w:rFonts w:cstheme="minorHAnsi"/>
                <w:color w:val="000000" w:themeColor="text1"/>
              </w:rPr>
              <w:t>’ ”</w:t>
            </w:r>
            <w:proofErr w:type="gramEnd"/>
            <w:r w:rsidRPr="00A5086E">
              <w:rPr>
                <w:rFonts w:cstheme="minorHAnsi"/>
                <w:color w:val="000000" w:themeColor="text1"/>
              </w:rPr>
              <w:t xml:space="preserve"> (Amici’s Br. at 15.) We disagree with amici that Kennedy House’s decision to not offer evidence on the unreasonableness of the accommodation is excusable. Kennedy House was not unaware of the applicability of the FHA, and Kennedy House’s proposed conclusions of law filed with the Commission addresses the relevant provisions of the FHA, HUD guidance, and case law addressing the reasonableness requirements of the FHA. (R.R. at 185–88.) To the extent Kennedy House felt “blind-sided” by the Commission’s reasoning, it should have raised that issue to common pleas, which it did not. (</w:t>
            </w:r>
            <w:r w:rsidRPr="00A5086E">
              <w:rPr>
                <w:rFonts w:cstheme="minorHAnsi"/>
                <w:i/>
                <w:iCs/>
                <w:color w:val="000000" w:themeColor="text1"/>
              </w:rPr>
              <w:t>See</w:t>
            </w:r>
            <w:r w:rsidRPr="00A5086E">
              <w:rPr>
                <w:rFonts w:cstheme="minorHAnsi"/>
                <w:color w:val="000000" w:themeColor="text1"/>
              </w:rPr>
              <w:t xml:space="preserve"> Brief of Kennedy House to common pleas at 8, C.R. at Item 10 (stating that it “does not dispute the Commission’s reliance on the [FHA] (and HUD’s interpretation thereof)”).) Although we appreciate that the residents wish Kennedy House had presented evidence of the alleged inadequate number of elevators for the building, the long wait times for elevators, the elderly population of residents in the building, many of whom have disabilities that are incompatible with a large, untrained dog, and other facts they believe support the unreasonableness of the accommodation ordered, Kennedy House did not present this evidence, and we therefore are precluded from considering it in this case.</w:t>
            </w:r>
          </w:p>
          <w:p w:rsidR="00793CB5" w:rsidRPr="00A5086E" w:rsidRDefault="00793CB5" w:rsidP="00A7527B">
            <w:pPr>
              <w:widowControl w:val="0"/>
              <w:autoSpaceDE w:val="0"/>
              <w:autoSpaceDN w:val="0"/>
              <w:adjustRightInd w:val="0"/>
              <w:jc w:val="both"/>
              <w:rPr>
                <w:rFonts w:cstheme="minorHAnsi"/>
                <w:color w:val="000000" w:themeColor="text1"/>
              </w:rPr>
            </w:pPr>
          </w:p>
        </w:tc>
      </w:tr>
      <w:bookmarkStart w:id="140" w:name="co_footnote_B00992039349007_1"/>
      <w:bookmarkEnd w:id="140"/>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"#co_footnoteReference_B00992039349007_ID0" </w:instrText>
            </w:r>
            <w:r w:rsidRPr="00A5086E">
              <w:rPr>
                <w:rFonts w:cstheme="minorHAnsi"/>
                <w:color w:val="000000" w:themeColor="text1"/>
              </w:rPr>
              <w:fldChar w:fldCharType="separate"/>
            </w:r>
            <w:r w:rsidRPr="00A5086E">
              <w:rPr>
                <w:rFonts w:cstheme="minorHAnsi"/>
                <w:color w:val="000000" w:themeColor="text1"/>
                <w:vertAlign w:val="superscript"/>
              </w:rPr>
              <w:t>9</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 xml:space="preserve">The Superior Court of Massachusetts, like this Court, is a state-wide court with both original and appellate jurisdiction. </w:t>
            </w:r>
            <w:r w:rsidRPr="00A5086E">
              <w:rPr>
                <w:rFonts w:cstheme="minorHAnsi"/>
                <w:i/>
                <w:iCs/>
                <w:color w:val="000000" w:themeColor="text1"/>
              </w:rPr>
              <w:t>See</w:t>
            </w:r>
            <w:r w:rsidRPr="00A5086E">
              <w:rPr>
                <w:rFonts w:cstheme="minorHAnsi"/>
                <w:color w:val="000000" w:themeColor="text1"/>
              </w:rPr>
              <w:t xml:space="preserve"> </w:t>
            </w:r>
            <w:hyperlink r:id="rId146" w:history="1">
              <w:r w:rsidRPr="00A5086E">
                <w:rPr>
                  <w:rFonts w:cstheme="minorHAnsi"/>
                  <w:color w:val="000000" w:themeColor="text1"/>
                </w:rPr>
                <w:t xml:space="preserve">Mass. Gen. Laws Ann. </w:t>
              </w:r>
              <w:proofErr w:type="spellStart"/>
              <w:r w:rsidRPr="00A5086E">
                <w:rPr>
                  <w:rFonts w:cstheme="minorHAnsi"/>
                  <w:color w:val="000000" w:themeColor="text1"/>
                </w:rPr>
                <w:t>ch.</w:t>
              </w:r>
              <w:proofErr w:type="spellEnd"/>
              <w:r w:rsidRPr="00A5086E">
                <w:rPr>
                  <w:rFonts w:cstheme="minorHAnsi"/>
                  <w:color w:val="000000" w:themeColor="text1"/>
                </w:rPr>
                <w:t xml:space="preserve"> 212, §§ 1</w:t>
              </w:r>
            </w:hyperlink>
            <w:r w:rsidRPr="00A5086E">
              <w:rPr>
                <w:rFonts w:cstheme="minorHAnsi"/>
                <w:color w:val="000000" w:themeColor="text1"/>
              </w:rPr>
              <w:t>–</w:t>
            </w:r>
            <w:hyperlink r:id="rId147" w:history="1">
              <w:r w:rsidRPr="00A5086E">
                <w:rPr>
                  <w:rFonts w:cstheme="minorHAnsi"/>
                  <w:color w:val="000000" w:themeColor="text1"/>
                </w:rPr>
                <w:t>14</w:t>
              </w:r>
            </w:hyperlink>
            <w:r w:rsidRPr="00A5086E">
              <w:rPr>
                <w:rFonts w:cstheme="minorHAnsi"/>
                <w:color w:val="000000" w:themeColor="text1"/>
              </w:rPr>
              <w:t xml:space="preserve">. </w:t>
            </w:r>
            <w:proofErr w:type="spellStart"/>
            <w:r w:rsidRPr="00A5086E">
              <w:rPr>
                <w:rFonts w:cstheme="minorHAnsi"/>
                <w:i/>
                <w:iCs/>
                <w:color w:val="000000" w:themeColor="text1"/>
              </w:rPr>
              <w:t>Nason</w:t>
            </w:r>
            <w:proofErr w:type="spellEnd"/>
            <w:r w:rsidRPr="00A5086E">
              <w:rPr>
                <w:rFonts w:cstheme="minorHAnsi"/>
                <w:color w:val="000000" w:themeColor="text1"/>
              </w:rPr>
              <w:t xml:space="preserve"> was heard in the Superior Court’s original jurisdiction.</w:t>
            </w:r>
          </w:p>
          <w:p w:rsidR="00793CB5" w:rsidRPr="00A5086E" w:rsidRDefault="00793CB5" w:rsidP="00A7527B">
            <w:pPr>
              <w:widowControl w:val="0"/>
              <w:autoSpaceDE w:val="0"/>
              <w:autoSpaceDN w:val="0"/>
              <w:adjustRightInd w:val="0"/>
              <w:jc w:val="both"/>
              <w:rPr>
                <w:rFonts w:cstheme="minorHAnsi"/>
                <w:color w:val="000000" w:themeColor="text1"/>
              </w:rPr>
            </w:pPr>
          </w:p>
        </w:tc>
      </w:tr>
      <w:bookmarkStart w:id="141" w:name="co_footnote_B010102039349007_1"/>
      <w:bookmarkEnd w:id="141"/>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"#co_footnoteReference_B010102039349007_ID" </w:instrText>
            </w:r>
            <w:r w:rsidRPr="00A5086E">
              <w:rPr>
                <w:rFonts w:cstheme="minorHAnsi"/>
                <w:color w:val="000000" w:themeColor="text1"/>
              </w:rPr>
              <w:fldChar w:fldCharType="separate"/>
            </w:r>
            <w:r w:rsidRPr="00A5086E">
              <w:rPr>
                <w:rFonts w:cstheme="minorHAnsi"/>
                <w:color w:val="000000" w:themeColor="text1"/>
                <w:vertAlign w:val="superscript"/>
              </w:rPr>
              <w:t>10</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However, there may be times when the disability is apparent, but the need for the assistance animal is not. A Joint Statement by the Department of Justice and HUD provides the following example.</w:t>
            </w:r>
          </w:p>
          <w:p w:rsidR="00793CB5" w:rsidRPr="00A5086E" w:rsidRDefault="00793CB5" w:rsidP="00A7527B">
            <w:pPr>
              <w:widowControl w:val="0"/>
              <w:autoSpaceDE w:val="0"/>
              <w:autoSpaceDN w:val="0"/>
              <w:adjustRightInd w:val="0"/>
              <w:ind w:left="360"/>
              <w:jc w:val="both"/>
              <w:rPr>
                <w:rFonts w:cstheme="minorHAnsi"/>
                <w:color w:val="000000" w:themeColor="text1"/>
              </w:rPr>
            </w:pPr>
            <w:r w:rsidRPr="00A5086E">
              <w:rPr>
                <w:rFonts w:cstheme="minorHAnsi"/>
                <w:color w:val="000000" w:themeColor="text1"/>
              </w:rPr>
              <w:lastRenderedPageBreak/>
              <w:t>A rental applicant who uses a wheelchair advises a housing provider that he wishes to keep an assistance dog in his unit even though the provider has a “no pets” policy. The applicant’s disability is readily apparent but the need for an assistance animal is not obvious to the provider. The housing provider may ask the applicant to provide information about the disability-related need for the dog.</w:t>
            </w:r>
          </w:p>
          <w:p w:rsidR="00793CB5" w:rsidRPr="00A5086E" w:rsidRDefault="00793CB5" w:rsidP="00A7527B">
            <w:pPr>
              <w:widowControl w:val="0"/>
              <w:autoSpaceDE w:val="0"/>
              <w:autoSpaceDN w:val="0"/>
              <w:adjustRightInd w:val="0"/>
              <w:ind w:left="180"/>
              <w:jc w:val="both"/>
              <w:rPr>
                <w:rFonts w:cstheme="minorHAnsi"/>
                <w:color w:val="000000" w:themeColor="text1"/>
              </w:rPr>
            </w:pPr>
            <w:r w:rsidRPr="00A5086E">
              <w:rPr>
                <w:rFonts w:cstheme="minorHAnsi"/>
                <w:color w:val="000000" w:themeColor="text1"/>
              </w:rPr>
              <w:t>Reasonable Accommodations Under the Fair Housing Act, Joint Statement of the Department of Housing and Urban Development and the Department of Justice, May 17, 2004, ¶ 17, Example 2.</w:t>
            </w:r>
          </w:p>
          <w:p w:rsidR="00793CB5" w:rsidRPr="00A5086E" w:rsidRDefault="00793CB5" w:rsidP="00A7527B">
            <w:pPr>
              <w:widowControl w:val="0"/>
              <w:autoSpaceDE w:val="0"/>
              <w:autoSpaceDN w:val="0"/>
              <w:adjustRightInd w:val="0"/>
              <w:ind w:left="180"/>
              <w:jc w:val="both"/>
              <w:rPr>
                <w:rFonts w:cstheme="minorHAnsi"/>
                <w:color w:val="000000" w:themeColor="text1"/>
              </w:rPr>
            </w:pPr>
          </w:p>
        </w:tc>
      </w:tr>
      <w:bookmarkStart w:id="142" w:name="co_footnote_B011112039349007_1"/>
      <w:bookmarkEnd w:id="142"/>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lastRenderedPageBreak/>
              <w:fldChar w:fldCharType="begin"/>
            </w:r>
            <w:r w:rsidRPr="00A5086E">
              <w:rPr>
                <w:rFonts w:cstheme="minorHAnsi"/>
                <w:color w:val="000000" w:themeColor="text1"/>
              </w:rPr>
              <w:instrText xml:space="preserve">HYPERLINK "#co_footnoteReference_B011112039349007_ID" </w:instrText>
            </w:r>
            <w:r w:rsidRPr="00A5086E">
              <w:rPr>
                <w:rFonts w:cstheme="minorHAnsi"/>
                <w:color w:val="000000" w:themeColor="text1"/>
              </w:rPr>
              <w:fldChar w:fldCharType="separate"/>
            </w:r>
            <w:r w:rsidRPr="00A5086E">
              <w:rPr>
                <w:rFonts w:cstheme="minorHAnsi"/>
                <w:color w:val="000000" w:themeColor="text1"/>
                <w:vertAlign w:val="superscript"/>
              </w:rPr>
              <w:t>11</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Mr. Giblin testified that “at least to my knowledge,” Ms. Rubin never brought Mira along on her visits to Kennedy House. (R.R. at 134.) Ms. Rubin testified that while she attended the Membership Committee meeting alone and left her wheelchair in the car, (</w:t>
            </w:r>
            <w:r w:rsidRPr="00A5086E">
              <w:rPr>
                <w:rFonts w:cstheme="minorHAnsi"/>
                <w:i/>
                <w:iCs/>
                <w:color w:val="000000" w:themeColor="text1"/>
              </w:rPr>
              <w:t>Id.</w:t>
            </w:r>
            <w:r w:rsidRPr="00A5086E">
              <w:rPr>
                <w:rFonts w:cstheme="minorHAnsi"/>
                <w:color w:val="000000" w:themeColor="text1"/>
              </w:rPr>
              <w:t xml:space="preserve"> at 101, 123), she was in a wheelchair and accompanied by a caregiver at each visit she made to Kennedy House prior to the Membership Committee meeting. (</w:t>
            </w:r>
            <w:r w:rsidRPr="00A5086E">
              <w:rPr>
                <w:rFonts w:cstheme="minorHAnsi"/>
                <w:i/>
                <w:iCs/>
                <w:color w:val="000000" w:themeColor="text1"/>
              </w:rPr>
              <w:t>Id.</w:t>
            </w:r>
            <w:r w:rsidRPr="00A5086E">
              <w:rPr>
                <w:rFonts w:cstheme="minorHAnsi"/>
                <w:color w:val="000000" w:themeColor="text1"/>
              </w:rPr>
              <w:t xml:space="preserve"> at 89.)</w:t>
            </w:r>
          </w:p>
        </w:tc>
      </w:tr>
      <w:bookmarkStart w:id="143" w:name="co_footnote_B012122039349007_1"/>
      <w:bookmarkEnd w:id="143"/>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"#co_footnoteReference_B012122039349007_ID" </w:instrText>
            </w:r>
            <w:r w:rsidRPr="00A5086E">
              <w:rPr>
                <w:rFonts w:cstheme="minorHAnsi"/>
                <w:color w:val="000000" w:themeColor="text1"/>
              </w:rPr>
              <w:fldChar w:fldCharType="separate"/>
            </w:r>
            <w:r w:rsidRPr="00A5086E">
              <w:rPr>
                <w:rFonts w:cstheme="minorHAnsi"/>
                <w:color w:val="000000" w:themeColor="text1"/>
                <w:vertAlign w:val="superscript"/>
              </w:rPr>
              <w:t>12</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Due to our disposition we need not address Kennedy House’s substantial evidence arguments</w:t>
            </w:r>
          </w:p>
        </w:tc>
      </w:tr>
      <w:bookmarkStart w:id="144" w:name="co_footnote_B01312039349007_1"/>
      <w:bookmarkEnd w:id="144"/>
      <w:tr w:rsidR="00793CB5" w:rsidRPr="00A5086E" w:rsidTr="00A7527B">
        <w:tc>
          <w:tcPr>
            <w:tcW w:w="600" w:type="dxa"/>
            <w:tcBorders>
              <w:top w:val="nil"/>
              <w:left w:val="nil"/>
              <w:bottom w:val="nil"/>
              <w:right w:val="nil"/>
            </w:tcBorders>
          </w:tcPr>
          <w:p w:rsidR="00793CB5" w:rsidRPr="00A5086E" w:rsidRDefault="00793CB5" w:rsidP="00A7527B">
            <w:pPr>
              <w:widowControl w:val="0"/>
              <w:autoSpaceDE w:val="0"/>
              <w:autoSpaceDN w:val="0"/>
              <w:adjustRightInd w:val="0"/>
              <w:rPr>
                <w:rFonts w:cstheme="minorHAnsi"/>
                <w:color w:val="000000" w:themeColor="text1"/>
              </w:rPr>
            </w:pPr>
            <w:r w:rsidRPr="00A5086E">
              <w:rPr>
                <w:rFonts w:cstheme="minorHAnsi"/>
                <w:color w:val="000000" w:themeColor="text1"/>
              </w:rPr>
              <w:fldChar w:fldCharType="begin"/>
            </w:r>
            <w:r w:rsidRPr="00A5086E">
              <w:rPr>
                <w:rFonts w:cstheme="minorHAnsi"/>
                <w:color w:val="000000" w:themeColor="text1"/>
              </w:rPr>
              <w:instrText xml:space="preserve">HYPERLINK "#co_footnoteReference_B01312039349007_ID0" </w:instrText>
            </w:r>
            <w:r w:rsidRPr="00A5086E">
              <w:rPr>
                <w:rFonts w:cstheme="minorHAnsi"/>
                <w:color w:val="000000" w:themeColor="text1"/>
              </w:rPr>
              <w:fldChar w:fldCharType="separate"/>
            </w:r>
            <w:r w:rsidRPr="00A5086E">
              <w:rPr>
                <w:rFonts w:cstheme="minorHAnsi"/>
                <w:color w:val="000000" w:themeColor="text1"/>
                <w:vertAlign w:val="superscript"/>
              </w:rPr>
              <w:t>1</w:t>
            </w:r>
            <w:r w:rsidRPr="00A5086E">
              <w:rPr>
                <w:rFonts w:cstheme="minorHAnsi"/>
                <w:color w:val="000000" w:themeColor="text1"/>
              </w:rPr>
              <w:fldChar w:fldCharType="end"/>
            </w:r>
          </w:p>
          <w:p w:rsidR="00793CB5" w:rsidRPr="00A5086E" w:rsidRDefault="00793CB5" w:rsidP="00A7527B">
            <w:pPr>
              <w:widowControl w:val="0"/>
              <w:autoSpaceDE w:val="0"/>
              <w:autoSpaceDN w:val="0"/>
              <w:adjustRightInd w:val="0"/>
              <w:rPr>
                <w:rFonts w:cstheme="minorHAnsi"/>
                <w:color w:val="000000" w:themeColor="text1"/>
              </w:rPr>
            </w:pPr>
          </w:p>
        </w:tc>
        <w:tc>
          <w:tcPr>
            <w:tcW w:w="9480" w:type="dxa"/>
            <w:tcBorders>
              <w:top w:val="nil"/>
              <w:left w:val="nil"/>
              <w:bottom w:val="nil"/>
              <w:right w:val="nil"/>
            </w:tcBorders>
          </w:tcPr>
          <w:p w:rsidR="00793CB5" w:rsidRPr="00A5086E" w:rsidRDefault="00793CB5" w:rsidP="00A7527B">
            <w:pPr>
              <w:widowControl w:val="0"/>
              <w:autoSpaceDE w:val="0"/>
              <w:autoSpaceDN w:val="0"/>
              <w:adjustRightInd w:val="0"/>
              <w:jc w:val="both"/>
              <w:rPr>
                <w:rFonts w:cstheme="minorHAnsi"/>
                <w:color w:val="000000" w:themeColor="text1"/>
              </w:rPr>
            </w:pPr>
            <w:r w:rsidRPr="00A5086E">
              <w:rPr>
                <w:rFonts w:cstheme="minorHAnsi"/>
                <w:color w:val="000000" w:themeColor="text1"/>
              </w:rPr>
              <w:t>The Commission also credited the testimony of James Giblin, General Manager of Kennedy House.</w:t>
            </w:r>
          </w:p>
          <w:p w:rsidR="00793CB5" w:rsidRPr="00A5086E" w:rsidRDefault="00793CB5" w:rsidP="00A7527B">
            <w:pPr>
              <w:widowControl w:val="0"/>
              <w:autoSpaceDE w:val="0"/>
              <w:autoSpaceDN w:val="0"/>
              <w:adjustRightInd w:val="0"/>
              <w:jc w:val="both"/>
              <w:rPr>
                <w:rFonts w:cstheme="minorHAnsi"/>
                <w:color w:val="000000" w:themeColor="text1"/>
              </w:rPr>
            </w:pPr>
          </w:p>
        </w:tc>
      </w:tr>
    </w:tbl>
    <w:p w:rsidR="00793CB5" w:rsidRPr="00A5086E" w:rsidRDefault="00793CB5" w:rsidP="00793CB5">
      <w:pPr>
        <w:widowControl w:val="0"/>
        <w:autoSpaceDE w:val="0"/>
        <w:autoSpaceDN w:val="0"/>
        <w:adjustRightInd w:val="0"/>
        <w:rPr>
          <w:rFonts w:cstheme="minorHAnsi"/>
          <w:color w:val="000000" w:themeColor="text1"/>
        </w:rPr>
      </w:pPr>
    </w:p>
    <w:p w:rsidR="00793CB5" w:rsidRPr="00A5086E" w:rsidRDefault="00793CB5" w:rsidP="00793CB5">
      <w:pPr>
        <w:widowControl w:val="0"/>
        <w:autoSpaceDE w:val="0"/>
        <w:autoSpaceDN w:val="0"/>
        <w:adjustRightInd w:val="0"/>
        <w:rPr>
          <w:rFonts w:cstheme="minorHAnsi"/>
          <w:color w:val="000000" w:themeColor="text1"/>
        </w:rPr>
      </w:pPr>
    </w:p>
    <w:tbl>
      <w:tblPr>
        <w:tblW w:w="10080" w:type="dxa"/>
        <w:tblInd w:w="24" w:type="dxa"/>
        <w:tblLayout w:type="fixed"/>
        <w:tblCellMar>
          <w:left w:w="0" w:type="dxa"/>
          <w:right w:w="0" w:type="dxa"/>
        </w:tblCellMar>
        <w:tblLook w:val="0000" w:firstRow="0" w:lastRow="0" w:firstColumn="0" w:lastColumn="0" w:noHBand="0" w:noVBand="0"/>
      </w:tblPr>
      <w:tblGrid>
        <w:gridCol w:w="4320"/>
        <w:gridCol w:w="5760"/>
      </w:tblGrid>
      <w:tr w:rsidR="00793CB5" w:rsidRPr="00A5086E" w:rsidTr="00A7527B">
        <w:tc>
          <w:tcPr>
            <w:tcW w:w="4320" w:type="dxa"/>
            <w:tcBorders>
              <w:top w:val="single" w:sz="4" w:space="0" w:color="777777"/>
              <w:left w:val="nil"/>
              <w:bottom w:val="nil"/>
              <w:right w:val="nil"/>
            </w:tcBorders>
            <w:tcMar>
              <w:top w:w="100" w:type="dxa"/>
              <w:left w:w="24" w:type="dxa"/>
              <w:right w:w="24" w:type="dxa"/>
            </w:tcMar>
          </w:tcPr>
          <w:p w:rsidR="00793CB5" w:rsidRPr="00A5086E" w:rsidRDefault="00793CB5" w:rsidP="00A7527B">
            <w:pPr>
              <w:widowControl w:val="0"/>
              <w:autoSpaceDE w:val="0"/>
              <w:autoSpaceDN w:val="0"/>
              <w:adjustRightInd w:val="0"/>
              <w:ind w:left="24" w:right="24"/>
              <w:rPr>
                <w:rFonts w:cstheme="minorHAnsi"/>
                <w:b/>
                <w:bCs/>
                <w:color w:val="000000" w:themeColor="text1"/>
              </w:rPr>
            </w:pPr>
            <w:r w:rsidRPr="00A5086E">
              <w:rPr>
                <w:rFonts w:cstheme="minorHAnsi"/>
                <w:b/>
                <w:bCs/>
                <w:color w:val="000000" w:themeColor="text1"/>
              </w:rPr>
              <w:t>d of Document</w:t>
            </w:r>
          </w:p>
          <w:p w:rsidR="00793CB5" w:rsidRPr="00A5086E" w:rsidRDefault="00793CB5" w:rsidP="00A7527B">
            <w:pPr>
              <w:widowControl w:val="0"/>
              <w:autoSpaceDE w:val="0"/>
              <w:autoSpaceDN w:val="0"/>
              <w:adjustRightInd w:val="0"/>
              <w:ind w:left="24" w:right="24"/>
              <w:rPr>
                <w:rFonts w:cstheme="minorHAnsi"/>
                <w:b/>
                <w:bCs/>
                <w:color w:val="000000" w:themeColor="text1"/>
              </w:rPr>
            </w:pPr>
          </w:p>
        </w:tc>
        <w:tc>
          <w:tcPr>
            <w:tcW w:w="5760" w:type="dxa"/>
            <w:tcBorders>
              <w:top w:val="single" w:sz="4" w:space="0" w:color="777777"/>
              <w:left w:val="nil"/>
              <w:bottom w:val="nil"/>
              <w:right w:val="nil"/>
            </w:tcBorders>
            <w:tcMar>
              <w:top w:w="100" w:type="dxa"/>
              <w:left w:w="24" w:type="dxa"/>
              <w:right w:w="24" w:type="dxa"/>
            </w:tcMar>
          </w:tcPr>
          <w:p w:rsidR="00793CB5" w:rsidRPr="00A5086E" w:rsidRDefault="00793CB5" w:rsidP="00A7527B">
            <w:pPr>
              <w:widowControl w:val="0"/>
              <w:autoSpaceDE w:val="0"/>
              <w:autoSpaceDN w:val="0"/>
              <w:adjustRightInd w:val="0"/>
              <w:ind w:left="24" w:right="24"/>
              <w:jc w:val="right"/>
              <w:rPr>
                <w:rFonts w:cstheme="minorHAnsi"/>
                <w:color w:val="000000" w:themeColor="text1"/>
              </w:rPr>
            </w:pPr>
            <w:r w:rsidRPr="00A5086E">
              <w:rPr>
                <w:rFonts w:cstheme="minorHAnsi"/>
                <w:color w:val="000000" w:themeColor="text1"/>
              </w:rPr>
              <w:t>© 2018 Thomson Reuters. No claim to original U.S. Government Works.</w:t>
            </w:r>
          </w:p>
          <w:p w:rsidR="00793CB5" w:rsidRPr="00A5086E" w:rsidRDefault="00793CB5" w:rsidP="00A7527B">
            <w:pPr>
              <w:widowControl w:val="0"/>
              <w:autoSpaceDE w:val="0"/>
              <w:autoSpaceDN w:val="0"/>
              <w:adjustRightInd w:val="0"/>
              <w:ind w:left="24" w:right="24"/>
              <w:jc w:val="right"/>
              <w:rPr>
                <w:rFonts w:cstheme="minorHAnsi"/>
                <w:color w:val="000000" w:themeColor="text1"/>
              </w:rPr>
            </w:pPr>
          </w:p>
        </w:tc>
      </w:tr>
      <w:bookmarkEnd w:id="37"/>
    </w:tbl>
    <w:p w:rsidR="00793CB5" w:rsidRPr="00A5086E" w:rsidRDefault="00793CB5" w:rsidP="00793CB5">
      <w:pPr>
        <w:widowControl w:val="0"/>
        <w:autoSpaceDE w:val="0"/>
        <w:autoSpaceDN w:val="0"/>
        <w:adjustRightInd w:val="0"/>
        <w:rPr>
          <w:rFonts w:ascii="Arial" w:hAnsi="Arial" w:cs="Arial"/>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r w:rsidR="00C37C44" w:rsidTr="00A7527B">
        <w:tc>
          <w:tcPr>
            <w:tcW w:w="9350" w:type="dxa"/>
            <w:tcBorders>
              <w:top w:val="single" w:sz="4" w:space="0" w:color="auto"/>
              <w:bottom w:val="single" w:sz="4" w:space="0" w:color="auto"/>
            </w:tcBorders>
          </w:tcPr>
          <w:p w:rsidR="00C37C44" w:rsidRDefault="00C37C44" w:rsidP="00A7527B">
            <w:pPr>
              <w:spacing w:after="360"/>
              <w:rPr>
                <w:color w:val="231B18"/>
                <w:sz w:val="18"/>
                <w:szCs w:val="18"/>
              </w:rPr>
            </w:pPr>
          </w:p>
        </w:tc>
      </w:tr>
    </w:tbl>
    <w:p w:rsidR="003D4879" w:rsidRDefault="003D4879" w:rsidP="003D4879">
      <w:pPr>
        <w:widowControl w:val="0"/>
        <w:autoSpaceDE w:val="0"/>
        <w:autoSpaceDN w:val="0"/>
        <w:adjustRightInd w:val="0"/>
        <w:rPr>
          <w:rFonts w:ascii="Arial" w:hAnsi="Arial" w:cs="Arial"/>
        </w:rPr>
        <w:sectPr w:rsidR="003D4879">
          <w:headerReference w:type="default" r:id="rId148"/>
          <w:footerReference w:type="default" r:id="rId149"/>
          <w:type w:val="continuous"/>
          <w:pgSz w:w="12240" w:h="15840"/>
          <w:pgMar w:top="1080" w:right="1080" w:bottom="1080" w:left="1080" w:header="720" w:footer="720" w:gutter="0"/>
          <w:cols w:space="720"/>
          <w:noEndnote/>
        </w:sectPr>
      </w:pPr>
    </w:p>
    <w:p w:rsidR="003D4879" w:rsidRDefault="003D4879" w:rsidP="003D4879">
      <w:pPr>
        <w:widowControl w:val="0"/>
        <w:autoSpaceDE w:val="0"/>
        <w:autoSpaceDN w:val="0"/>
        <w:adjustRightInd w:val="0"/>
        <w:rPr>
          <w:rFonts w:ascii="Arial" w:hAnsi="Arial" w:cs="Arial"/>
        </w:rPr>
      </w:pPr>
    </w:p>
    <w:p w:rsidR="00555CB7" w:rsidRDefault="00555CB7" w:rsidP="00555CB7"/>
    <w:p w:rsidR="001D5760" w:rsidRDefault="001D5760" w:rsidP="00555CB7"/>
    <w:p w:rsidR="001D5760" w:rsidRDefault="001D5760" w:rsidP="00555CB7"/>
    <w:p w:rsidR="001D5760" w:rsidRDefault="00B71825" w:rsidP="00555CB7">
      <w:r>
        <w:rPr>
          <w:noProof/>
        </w:rPr>
        <w:drawing>
          <wp:inline distT="0" distB="0" distL="0" distR="0" wp14:anchorId="4E0D5B7B" wp14:editId="683169A7">
            <wp:extent cx="6115050" cy="3436252"/>
            <wp:effectExtent l="19050" t="19050" r="19050" b="1206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de45.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6115050" cy="3436252"/>
                    </a:xfrm>
                    <a:prstGeom prst="rect">
                      <a:avLst/>
                    </a:prstGeom>
                    <a:ln>
                      <a:solidFill>
                        <a:schemeClr val="tx1"/>
                      </a:solidFill>
                    </a:ln>
                  </pic:spPr>
                </pic:pic>
              </a:graphicData>
            </a:graphic>
          </wp:inline>
        </w:drawing>
      </w:r>
    </w:p>
    <w:p w:rsidR="001D5760" w:rsidRDefault="001D5760" w:rsidP="00555CB7"/>
    <w:p w:rsidR="00555CB7" w:rsidRDefault="00555CB7" w:rsidP="00555CB7">
      <w:pPr>
        <w:pStyle w:val="Heading3"/>
      </w:pPr>
      <w:bookmarkStart w:id="145" w:name="_Toc20256121"/>
      <w:r w:rsidRPr="00F72FCC">
        <w:t>Group Discussion: Case Study Debrief</w:t>
      </w:r>
      <w:bookmarkEnd w:id="145"/>
    </w:p>
    <w:p w:rsidR="00C37C44" w:rsidRDefault="00C37C44">
      <w:pPr>
        <w:spacing w:after="160" w:line="259" w:lineRule="auto"/>
      </w:pPr>
    </w:p>
    <w:p w:rsidR="00434CFD" w:rsidRDefault="00434CFD">
      <w:pPr>
        <w:spacing w:after="160" w:line="259" w:lineRule="auto"/>
      </w:pPr>
      <w:r>
        <w:br w:type="page"/>
      </w:r>
    </w:p>
    <w:p w:rsidR="001D5760" w:rsidRDefault="001D5760" w:rsidP="00B71825"/>
    <w:p w:rsidR="001D5760" w:rsidRDefault="001D5760" w:rsidP="001D5760">
      <w:pPr>
        <w:jc w:val="center"/>
      </w:pPr>
      <w:r>
        <w:rPr>
          <w:noProof/>
        </w:rPr>
        <w:drawing>
          <wp:inline distT="0" distB="0" distL="0" distR="0" wp14:anchorId="158D5005" wp14:editId="42227F01">
            <wp:extent cx="4500316" cy="2534269"/>
            <wp:effectExtent l="19050" t="19050" r="14605" b="190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lide46.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4528093" cy="2549911"/>
                    </a:xfrm>
                    <a:prstGeom prst="rect">
                      <a:avLst/>
                    </a:prstGeom>
                    <a:ln>
                      <a:solidFill>
                        <a:schemeClr val="tx1"/>
                      </a:solidFill>
                    </a:ln>
                  </pic:spPr>
                </pic:pic>
              </a:graphicData>
            </a:graphic>
          </wp:inline>
        </w:drawing>
      </w:r>
    </w:p>
    <w:p w:rsidR="00434CFD" w:rsidRDefault="00434CFD" w:rsidP="001D5760">
      <w:pPr>
        <w:jc w:val="center"/>
      </w:pPr>
    </w:p>
    <w:p w:rsidR="001D5760" w:rsidRDefault="001D5760" w:rsidP="000A6F74">
      <w:pPr>
        <w:pStyle w:val="Heading2"/>
      </w:pPr>
      <w:bookmarkStart w:id="146" w:name="_Toc20256122"/>
      <w:r>
        <w:t xml:space="preserve">PART 4: </w:t>
      </w:r>
      <w:r w:rsidRPr="00F72FCC">
        <w:t>Cultural Diversity and Bias</w:t>
      </w:r>
      <w:bookmarkEnd w:id="146"/>
      <w:r w:rsidRPr="00F72FCC">
        <w:t xml:space="preserve"> </w:t>
      </w:r>
    </w:p>
    <w:p w:rsidR="001D5760" w:rsidRDefault="001D5760" w:rsidP="001D5760"/>
    <w:p w:rsidR="001D5760" w:rsidRDefault="001D5760" w:rsidP="001D5760">
      <w:pPr>
        <w:jc w:val="center"/>
      </w:pPr>
    </w:p>
    <w:p w:rsidR="001D5760" w:rsidRDefault="006033D7" w:rsidP="006033D7">
      <w:pPr>
        <w:jc w:val="center"/>
      </w:pPr>
      <w:r>
        <w:rPr>
          <w:noProof/>
        </w:rPr>
        <w:drawing>
          <wp:inline distT="0" distB="0" distL="0" distR="0" wp14:anchorId="6C502B2C" wp14:editId="35715CD7">
            <wp:extent cx="6106080" cy="3438525"/>
            <wp:effectExtent l="19050" t="19050" r="2857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de48.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111417" cy="3441531"/>
                    </a:xfrm>
                    <a:prstGeom prst="rect">
                      <a:avLst/>
                    </a:prstGeom>
                    <a:ln>
                      <a:solidFill>
                        <a:schemeClr val="tx1"/>
                      </a:solidFill>
                    </a:ln>
                  </pic:spPr>
                </pic:pic>
              </a:graphicData>
            </a:graphic>
          </wp:inline>
        </w:drawing>
      </w:r>
    </w:p>
    <w:p w:rsidR="001D5760" w:rsidRDefault="001D5760" w:rsidP="001D5760"/>
    <w:p w:rsidR="001D5760" w:rsidRDefault="001D5760" w:rsidP="001D5760"/>
    <w:p w:rsidR="001D5760" w:rsidRDefault="001D5760" w:rsidP="001D5760"/>
    <w:p w:rsidR="001D5760" w:rsidRDefault="001D5760" w:rsidP="001D5760"/>
    <w:p w:rsidR="006033D7" w:rsidRDefault="006033D7" w:rsidP="001D5760">
      <w:pPr>
        <w:pStyle w:val="Heading3"/>
      </w:pPr>
    </w:p>
    <w:p w:rsidR="00DF39C0" w:rsidRDefault="00DF39C0" w:rsidP="001D5760">
      <w:pPr>
        <w:pStyle w:val="Heading3"/>
      </w:pPr>
      <w:bookmarkStart w:id="147" w:name="_Toc20256123"/>
    </w:p>
    <w:p w:rsidR="001D5760" w:rsidRDefault="001D5760" w:rsidP="001D5760">
      <w:pPr>
        <w:pStyle w:val="Heading3"/>
      </w:pPr>
      <w:r>
        <w:lastRenderedPageBreak/>
        <w:t>Cultural Game</w:t>
      </w:r>
      <w:bookmarkEnd w:id="147"/>
    </w:p>
    <w:p w:rsidR="001D5760" w:rsidRDefault="001D5760" w:rsidP="001D5760"/>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6745"/>
      </w:tblGrid>
      <w:tr w:rsidR="00F829F6" w:rsidRPr="004F407F" w:rsidTr="00F829F6">
        <w:trPr>
          <w:trHeight w:hRule="exact" w:val="576"/>
        </w:trPr>
        <w:tc>
          <w:tcPr>
            <w:tcW w:w="3060"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rsidR="00F829F6" w:rsidRPr="004F407F" w:rsidRDefault="00F829F6" w:rsidP="00F829F6">
            <w:r w:rsidRPr="003F1657">
              <w:rPr>
                <w:sz w:val="28"/>
                <w:szCs w:val="28"/>
              </w:rPr>
              <w:t>Term</w:t>
            </w:r>
          </w:p>
        </w:tc>
        <w:tc>
          <w:tcPr>
            <w:tcW w:w="6745"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rsidR="00F829F6" w:rsidRPr="004F407F" w:rsidRDefault="00F829F6" w:rsidP="00F829F6">
            <w:pPr>
              <w:pStyle w:val="ListParagraph"/>
              <w:ind w:left="360"/>
            </w:pPr>
            <w:r w:rsidRPr="003F1657">
              <w:rPr>
                <w:sz w:val="28"/>
                <w:szCs w:val="28"/>
              </w:rPr>
              <w:t>Definition</w:t>
            </w:r>
          </w:p>
        </w:tc>
      </w:tr>
      <w:tr w:rsidR="00F829F6" w:rsidRPr="004F407F" w:rsidTr="00F829F6">
        <w:trPr>
          <w:trHeight w:hRule="exact" w:val="432"/>
        </w:trPr>
        <w:tc>
          <w:tcPr>
            <w:tcW w:w="3060" w:type="dxa"/>
            <w:tcBorders>
              <w:top w:val="single" w:sz="2" w:space="0" w:color="auto"/>
            </w:tcBorders>
            <w:vAlign w:val="center"/>
          </w:tcPr>
          <w:p w:rsidR="00F829F6" w:rsidRPr="00F829F6" w:rsidRDefault="00F829F6" w:rsidP="005E5376">
            <w:pPr>
              <w:rPr>
                <w:sz w:val="22"/>
                <w:szCs w:val="22"/>
              </w:rPr>
            </w:pPr>
            <w:r w:rsidRPr="00F829F6">
              <w:rPr>
                <w:sz w:val="22"/>
                <w:szCs w:val="22"/>
              </w:rPr>
              <w:t>1-Hijab _____</w:t>
            </w:r>
          </w:p>
        </w:tc>
        <w:tc>
          <w:tcPr>
            <w:tcW w:w="6745" w:type="dxa"/>
            <w:tcBorders>
              <w:top w:val="single" w:sz="2" w:space="0" w:color="auto"/>
            </w:tcBorders>
            <w:vAlign w:val="center"/>
          </w:tcPr>
          <w:p w:rsidR="00F829F6" w:rsidRPr="00F829F6" w:rsidRDefault="00F829F6" w:rsidP="0085409A">
            <w:pPr>
              <w:pStyle w:val="ListParagraph"/>
              <w:numPr>
                <w:ilvl w:val="0"/>
                <w:numId w:val="7"/>
              </w:numPr>
              <w:rPr>
                <w:sz w:val="22"/>
                <w:szCs w:val="22"/>
              </w:rPr>
            </w:pPr>
            <w:r w:rsidRPr="00F829F6">
              <w:rPr>
                <w:sz w:val="22"/>
                <w:szCs w:val="22"/>
              </w:rPr>
              <w:t>A dish of coarsely ground corn kernels</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2- Torah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A secular holiday celebrated by African Americans Dec 26- Jan 1</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3- Dreidel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May 1 Springtime festival</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4- Lederhosen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A thin pancake</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5- Grits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A Muslim place of worship</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6- Ramadan 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In England—the part of the car we refer to as the “Trunk”</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7- Mosque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In Judaism—the first 5 books of the Hebrew scripture</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8- Kwanzaa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Muslim Holy Day</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9- Thumbs Up 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A Jewish 4-sided spinning top</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10- Alcohol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The German name or Soccer</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11- Fridays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A traditional scarf worn by Muslim women</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12- Crepe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German pork Sausage</w:t>
            </w:r>
          </w:p>
        </w:tc>
      </w:tr>
      <w:tr w:rsidR="00F829F6" w:rsidRPr="004F407F" w:rsidTr="00F829F6">
        <w:trPr>
          <w:trHeight w:hRule="exact" w:val="648"/>
        </w:trPr>
        <w:tc>
          <w:tcPr>
            <w:tcW w:w="3060" w:type="dxa"/>
            <w:vAlign w:val="center"/>
          </w:tcPr>
          <w:p w:rsidR="00F829F6" w:rsidRPr="00F829F6" w:rsidRDefault="00F829F6" w:rsidP="005E5376">
            <w:pPr>
              <w:rPr>
                <w:sz w:val="22"/>
                <w:szCs w:val="22"/>
              </w:rPr>
            </w:pPr>
            <w:r w:rsidRPr="00F829F6">
              <w:rPr>
                <w:sz w:val="22"/>
                <w:szCs w:val="22"/>
              </w:rPr>
              <w:t>13- May Day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The 9</w:t>
            </w:r>
            <w:r w:rsidRPr="00F829F6">
              <w:rPr>
                <w:sz w:val="22"/>
                <w:szCs w:val="22"/>
                <w:vertAlign w:val="superscript"/>
              </w:rPr>
              <w:t>th</w:t>
            </w:r>
            <w:r w:rsidRPr="00F829F6">
              <w:rPr>
                <w:sz w:val="22"/>
                <w:szCs w:val="22"/>
              </w:rPr>
              <w:t xml:space="preserve"> month of the Muslim year, during which strict fasting is observed</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14- Fuss ball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Not consumed by Mormons or Muslims</w:t>
            </w:r>
          </w:p>
        </w:tc>
      </w:tr>
      <w:tr w:rsidR="00F829F6" w:rsidRPr="004F407F" w:rsidTr="00F829F6">
        <w:trPr>
          <w:trHeight w:hRule="exact" w:val="432"/>
        </w:trPr>
        <w:tc>
          <w:tcPr>
            <w:tcW w:w="3060" w:type="dxa"/>
            <w:vAlign w:val="center"/>
          </w:tcPr>
          <w:p w:rsidR="00F829F6" w:rsidRPr="00F829F6" w:rsidRDefault="00F829F6" w:rsidP="005E5376">
            <w:pPr>
              <w:rPr>
                <w:sz w:val="22"/>
                <w:szCs w:val="22"/>
              </w:rPr>
            </w:pPr>
            <w:r w:rsidRPr="00F829F6">
              <w:rPr>
                <w:sz w:val="22"/>
                <w:szCs w:val="22"/>
              </w:rPr>
              <w:t>15- Boot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Possibly an offensive gesture</w:t>
            </w:r>
          </w:p>
        </w:tc>
      </w:tr>
      <w:tr w:rsidR="00F829F6" w:rsidRPr="004F407F" w:rsidTr="00F829F6">
        <w:trPr>
          <w:trHeight w:hRule="exact" w:val="657"/>
        </w:trPr>
        <w:tc>
          <w:tcPr>
            <w:tcW w:w="3060" w:type="dxa"/>
            <w:vAlign w:val="center"/>
          </w:tcPr>
          <w:p w:rsidR="00F829F6" w:rsidRPr="00F829F6" w:rsidRDefault="00F829F6" w:rsidP="005E5376">
            <w:pPr>
              <w:rPr>
                <w:sz w:val="22"/>
                <w:szCs w:val="22"/>
              </w:rPr>
            </w:pPr>
            <w:r w:rsidRPr="00F829F6">
              <w:rPr>
                <w:sz w:val="22"/>
                <w:szCs w:val="22"/>
              </w:rPr>
              <w:t>16- Bratwurst _____</w:t>
            </w:r>
          </w:p>
        </w:tc>
        <w:tc>
          <w:tcPr>
            <w:tcW w:w="6745" w:type="dxa"/>
            <w:vAlign w:val="center"/>
          </w:tcPr>
          <w:p w:rsidR="00F829F6" w:rsidRPr="00F829F6" w:rsidRDefault="00F829F6" w:rsidP="0085409A">
            <w:pPr>
              <w:pStyle w:val="ListParagraph"/>
              <w:numPr>
                <w:ilvl w:val="0"/>
                <w:numId w:val="7"/>
              </w:numPr>
              <w:rPr>
                <w:sz w:val="22"/>
                <w:szCs w:val="22"/>
              </w:rPr>
            </w:pPr>
            <w:r w:rsidRPr="00F829F6">
              <w:rPr>
                <w:sz w:val="22"/>
                <w:szCs w:val="22"/>
              </w:rPr>
              <w:t>Leather shorts with H shaped suspenders traditionally worn in Bavaria</w:t>
            </w:r>
          </w:p>
        </w:tc>
      </w:tr>
    </w:tbl>
    <w:p w:rsidR="001D5760" w:rsidRDefault="001D5760" w:rsidP="001D5760">
      <w:pPr>
        <w:jc w:val="center"/>
      </w:pPr>
    </w:p>
    <w:p w:rsidR="00F829F6" w:rsidRDefault="00F829F6" w:rsidP="001D5760">
      <w:pPr>
        <w:jc w:val="center"/>
      </w:pPr>
    </w:p>
    <w:p w:rsidR="001D5760" w:rsidRDefault="001D5760" w:rsidP="001D5760">
      <w:pPr>
        <w:jc w:val="center"/>
      </w:pPr>
    </w:p>
    <w:p w:rsidR="00DF39C0" w:rsidRDefault="00DF39C0" w:rsidP="001D5760">
      <w:pPr>
        <w:jc w:val="center"/>
      </w:pPr>
    </w:p>
    <w:p w:rsidR="00DF39C0" w:rsidRDefault="00DF39C0" w:rsidP="001D5760">
      <w:pPr>
        <w:jc w:val="center"/>
      </w:pPr>
    </w:p>
    <w:p w:rsidR="001D5760" w:rsidRDefault="001D5760" w:rsidP="001D5760">
      <w:pPr>
        <w:jc w:val="center"/>
      </w:pPr>
      <w:r>
        <w:rPr>
          <w:noProof/>
        </w:rPr>
        <w:lastRenderedPageBreak/>
        <w:drawing>
          <wp:inline distT="0" distB="0" distL="0" distR="0" wp14:anchorId="2A71984D" wp14:editId="5EC79FFF">
            <wp:extent cx="3724275" cy="2099137"/>
            <wp:effectExtent l="19050" t="19050" r="9525" b="1587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de49.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739446" cy="2107688"/>
                    </a:xfrm>
                    <a:prstGeom prst="rect">
                      <a:avLst/>
                    </a:prstGeom>
                    <a:ln>
                      <a:solidFill>
                        <a:schemeClr val="tx1"/>
                      </a:solidFill>
                    </a:ln>
                  </pic:spPr>
                </pic:pic>
              </a:graphicData>
            </a:graphic>
          </wp:inline>
        </w:drawing>
      </w:r>
    </w:p>
    <w:p w:rsidR="001D5760" w:rsidRDefault="001D5760" w:rsidP="00F829F6">
      <w:pPr>
        <w:pStyle w:val="LIneDivider"/>
      </w:pPr>
    </w:p>
    <w:p w:rsidR="00AB2C1B" w:rsidRDefault="00AB2C1B" w:rsidP="00AB2C1B"/>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7005"/>
      </w:tblGrid>
      <w:tr w:rsidR="00AB2C1B" w:rsidTr="00F829F6">
        <w:trPr>
          <w:trHeight w:hRule="exact" w:val="576"/>
        </w:trPr>
        <w:tc>
          <w:tcPr>
            <w:tcW w:w="3060"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rsidR="00AB2C1B" w:rsidRPr="004F407F" w:rsidRDefault="00AB2C1B" w:rsidP="00AB2C1B">
            <w:r w:rsidRPr="003F1657">
              <w:rPr>
                <w:sz w:val="28"/>
                <w:szCs w:val="28"/>
              </w:rPr>
              <w:t>Term</w:t>
            </w:r>
          </w:p>
        </w:tc>
        <w:tc>
          <w:tcPr>
            <w:tcW w:w="7005" w:type="dxa"/>
            <w:tcBorders>
              <w:top w:val="single" w:sz="2" w:space="0" w:color="auto"/>
              <w:left w:val="single" w:sz="2" w:space="0" w:color="auto"/>
              <w:bottom w:val="single" w:sz="2" w:space="0" w:color="auto"/>
              <w:right w:val="single" w:sz="2" w:space="0" w:color="auto"/>
            </w:tcBorders>
            <w:shd w:val="clear" w:color="auto" w:fill="D0CECE" w:themeFill="background2" w:themeFillShade="E6"/>
            <w:vAlign w:val="center"/>
          </w:tcPr>
          <w:p w:rsidR="00AB2C1B" w:rsidRPr="004F407F" w:rsidRDefault="00AB2C1B" w:rsidP="00AB2C1B">
            <w:pPr>
              <w:pStyle w:val="ListParagraph"/>
              <w:ind w:left="360"/>
            </w:pPr>
            <w:r w:rsidRPr="003F1657">
              <w:rPr>
                <w:sz w:val="28"/>
                <w:szCs w:val="28"/>
              </w:rPr>
              <w:t>Definition</w:t>
            </w:r>
          </w:p>
        </w:tc>
      </w:tr>
      <w:tr w:rsidR="00AB2C1B" w:rsidTr="00F829F6">
        <w:trPr>
          <w:trHeight w:hRule="exact" w:val="432"/>
        </w:trPr>
        <w:tc>
          <w:tcPr>
            <w:tcW w:w="3060" w:type="dxa"/>
            <w:tcBorders>
              <w:top w:val="single" w:sz="2" w:space="0" w:color="auto"/>
            </w:tcBorders>
            <w:vAlign w:val="center"/>
          </w:tcPr>
          <w:p w:rsidR="00AB2C1B" w:rsidRPr="00AB2C1B" w:rsidRDefault="00AB2C1B" w:rsidP="00AB2C1B">
            <w:pPr>
              <w:rPr>
                <w:sz w:val="22"/>
                <w:szCs w:val="22"/>
              </w:rPr>
            </w:pPr>
            <w:r w:rsidRPr="00AB2C1B">
              <w:rPr>
                <w:sz w:val="22"/>
                <w:szCs w:val="22"/>
              </w:rPr>
              <w:t>1-Hijab-- K</w:t>
            </w:r>
          </w:p>
        </w:tc>
        <w:tc>
          <w:tcPr>
            <w:tcW w:w="7005" w:type="dxa"/>
            <w:tcBorders>
              <w:top w:val="single" w:sz="2" w:space="0" w:color="auto"/>
            </w:tcBorders>
            <w:vAlign w:val="center"/>
          </w:tcPr>
          <w:p w:rsidR="00AB2C1B" w:rsidRPr="00AB2C1B" w:rsidRDefault="00AB2C1B" w:rsidP="0085409A">
            <w:pPr>
              <w:pStyle w:val="ListParagraph"/>
              <w:numPr>
                <w:ilvl w:val="0"/>
                <w:numId w:val="18"/>
              </w:numPr>
              <w:rPr>
                <w:sz w:val="22"/>
                <w:szCs w:val="22"/>
              </w:rPr>
            </w:pPr>
            <w:r w:rsidRPr="00AB2C1B">
              <w:rPr>
                <w:sz w:val="22"/>
                <w:szCs w:val="22"/>
              </w:rPr>
              <w:t xml:space="preserve"> A dish of coarsely ground corn kernels</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2- Torah-- G</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A secular holiday celebrated by African Americans Dec 26- Jan 1</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3- Dreidel --I</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May 1 Springtime festival</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4- Lederhosen --P</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A thin pancake</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5- Grits --A</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A Muslim place of worship</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6- Ramadan --M</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In England—the part of the car we refer to as the “Trunk”</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7- Mosque --E</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In Judaism—the first 5 books of the Hebrew scripture</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8- Kwanzaa --B</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Muslim Holy Day</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9- Thumbs Up --O</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A Jewish 4-sided spinning top</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10- Alcohol --N</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The German name or Soccer</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11- Fridays --H</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A traditional scarf worn by Muslim women</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12- Crepe --D</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German pork Sausage</w:t>
            </w:r>
          </w:p>
        </w:tc>
      </w:tr>
      <w:tr w:rsidR="00AB2C1B" w:rsidTr="00F829F6">
        <w:trPr>
          <w:trHeight w:hRule="exact" w:val="585"/>
        </w:trPr>
        <w:tc>
          <w:tcPr>
            <w:tcW w:w="3060" w:type="dxa"/>
            <w:vAlign w:val="center"/>
          </w:tcPr>
          <w:p w:rsidR="00AB2C1B" w:rsidRPr="00AB2C1B" w:rsidRDefault="00AB2C1B" w:rsidP="00AB2C1B">
            <w:pPr>
              <w:rPr>
                <w:sz w:val="22"/>
                <w:szCs w:val="22"/>
              </w:rPr>
            </w:pPr>
            <w:r w:rsidRPr="00AB2C1B">
              <w:rPr>
                <w:sz w:val="22"/>
                <w:szCs w:val="22"/>
              </w:rPr>
              <w:t>13- May Day --C</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The 9</w:t>
            </w:r>
            <w:r w:rsidRPr="00AB2C1B">
              <w:rPr>
                <w:sz w:val="22"/>
                <w:szCs w:val="22"/>
                <w:vertAlign w:val="superscript"/>
              </w:rPr>
              <w:t>th</w:t>
            </w:r>
            <w:r w:rsidRPr="00AB2C1B">
              <w:rPr>
                <w:sz w:val="22"/>
                <w:szCs w:val="22"/>
              </w:rPr>
              <w:t xml:space="preserve"> month of the Muslim year, during which strict fasting is observed</w:t>
            </w:r>
          </w:p>
        </w:tc>
      </w:tr>
      <w:tr w:rsidR="00AB2C1B" w:rsidTr="00F829F6">
        <w:trPr>
          <w:trHeight w:hRule="exact" w:val="432"/>
        </w:trPr>
        <w:tc>
          <w:tcPr>
            <w:tcW w:w="3060" w:type="dxa"/>
            <w:vAlign w:val="center"/>
          </w:tcPr>
          <w:p w:rsidR="00AB2C1B" w:rsidRPr="00AB2C1B" w:rsidRDefault="00AB2C1B" w:rsidP="00AB2C1B">
            <w:pPr>
              <w:rPr>
                <w:sz w:val="22"/>
                <w:szCs w:val="22"/>
              </w:rPr>
            </w:pPr>
            <w:r w:rsidRPr="00AB2C1B">
              <w:rPr>
                <w:sz w:val="22"/>
                <w:szCs w:val="22"/>
              </w:rPr>
              <w:t>14- Fuss ball --J</w:t>
            </w:r>
          </w:p>
        </w:tc>
        <w:tc>
          <w:tcPr>
            <w:tcW w:w="7005" w:type="dxa"/>
            <w:vAlign w:val="center"/>
          </w:tcPr>
          <w:p w:rsidR="00AB2C1B" w:rsidRPr="00AB2C1B" w:rsidRDefault="00AB2C1B" w:rsidP="0085409A">
            <w:pPr>
              <w:pStyle w:val="ListParagraph"/>
              <w:numPr>
                <w:ilvl w:val="0"/>
                <w:numId w:val="18"/>
              </w:numPr>
              <w:rPr>
                <w:sz w:val="22"/>
                <w:szCs w:val="22"/>
              </w:rPr>
            </w:pPr>
            <w:r w:rsidRPr="00AB2C1B">
              <w:rPr>
                <w:sz w:val="22"/>
                <w:szCs w:val="22"/>
              </w:rPr>
              <w:t>Not consumed by Mormons or Muslims</w:t>
            </w:r>
          </w:p>
        </w:tc>
      </w:tr>
      <w:tr w:rsidR="00AB2C1B" w:rsidTr="00F829F6">
        <w:trPr>
          <w:trHeight w:hRule="exact" w:val="432"/>
        </w:trPr>
        <w:tc>
          <w:tcPr>
            <w:tcW w:w="3060" w:type="dxa"/>
            <w:vAlign w:val="center"/>
          </w:tcPr>
          <w:p w:rsidR="00AB2C1B" w:rsidRPr="004F407F" w:rsidRDefault="00AB2C1B" w:rsidP="00AB2C1B">
            <w:r w:rsidRPr="004F407F">
              <w:t>15- Boot</w:t>
            </w:r>
            <w:r>
              <w:t xml:space="preserve"> --F</w:t>
            </w:r>
          </w:p>
        </w:tc>
        <w:tc>
          <w:tcPr>
            <w:tcW w:w="7005" w:type="dxa"/>
            <w:vAlign w:val="center"/>
          </w:tcPr>
          <w:p w:rsidR="00AB2C1B" w:rsidRPr="004F407F" w:rsidRDefault="00AB2C1B" w:rsidP="0085409A">
            <w:pPr>
              <w:pStyle w:val="ListParagraph"/>
              <w:numPr>
                <w:ilvl w:val="0"/>
                <w:numId w:val="18"/>
              </w:numPr>
            </w:pPr>
            <w:r w:rsidRPr="004F407F">
              <w:t>Possibly an offensive gesture</w:t>
            </w:r>
          </w:p>
        </w:tc>
      </w:tr>
      <w:tr w:rsidR="00AB2C1B" w:rsidTr="00F829F6">
        <w:trPr>
          <w:trHeight w:hRule="exact" w:val="657"/>
        </w:trPr>
        <w:tc>
          <w:tcPr>
            <w:tcW w:w="3060" w:type="dxa"/>
            <w:vAlign w:val="center"/>
          </w:tcPr>
          <w:p w:rsidR="00AB2C1B" w:rsidRPr="004F407F" w:rsidRDefault="00AB2C1B" w:rsidP="00AB2C1B">
            <w:r w:rsidRPr="004F407F">
              <w:t>16- Bratwurst</w:t>
            </w:r>
            <w:r>
              <w:t xml:space="preserve"> --L</w:t>
            </w:r>
          </w:p>
        </w:tc>
        <w:tc>
          <w:tcPr>
            <w:tcW w:w="7005" w:type="dxa"/>
            <w:vAlign w:val="center"/>
          </w:tcPr>
          <w:p w:rsidR="00AB2C1B" w:rsidRPr="004F407F" w:rsidRDefault="00AB2C1B" w:rsidP="0085409A">
            <w:pPr>
              <w:pStyle w:val="ListParagraph"/>
              <w:numPr>
                <w:ilvl w:val="0"/>
                <w:numId w:val="18"/>
              </w:numPr>
            </w:pPr>
            <w:r w:rsidRPr="004F407F">
              <w:t>Leather shorts with H shaped suspenders traditionally worn in Bavaria</w:t>
            </w:r>
          </w:p>
        </w:tc>
      </w:tr>
    </w:tbl>
    <w:p w:rsidR="001D5760" w:rsidRDefault="001D5760" w:rsidP="001D5760">
      <w:pPr>
        <w:jc w:val="center"/>
      </w:pPr>
    </w:p>
    <w:p w:rsidR="00BC2D61" w:rsidRDefault="00BC2D61" w:rsidP="00C859B5"/>
    <w:p w:rsidR="00BC2D61" w:rsidRDefault="00BC2D61" w:rsidP="001D5760">
      <w:pPr>
        <w:jc w:val="center"/>
      </w:pPr>
    </w:p>
    <w:p w:rsidR="00B71825" w:rsidRDefault="00B71825" w:rsidP="00B71825">
      <w:pPr>
        <w:spacing w:after="160" w:line="259" w:lineRule="auto"/>
        <w:jc w:val="center"/>
      </w:pPr>
      <w:r>
        <w:rPr>
          <w:noProof/>
        </w:rPr>
        <w:lastRenderedPageBreak/>
        <w:drawing>
          <wp:inline distT="0" distB="0" distL="0" distR="0" wp14:anchorId="74DA8AF7" wp14:editId="3EB158CA">
            <wp:extent cx="4924425" cy="2771321"/>
            <wp:effectExtent l="19050" t="19050" r="9525" b="10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lide52.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952019" cy="2786850"/>
                    </a:xfrm>
                    <a:prstGeom prst="rect">
                      <a:avLst/>
                    </a:prstGeom>
                    <a:ln>
                      <a:solidFill>
                        <a:schemeClr val="tx1"/>
                      </a:solidFill>
                    </a:ln>
                  </pic:spPr>
                </pic:pic>
              </a:graphicData>
            </a:graphic>
          </wp:inline>
        </w:drawing>
      </w:r>
    </w:p>
    <w:p w:rsidR="00B71825" w:rsidRDefault="00B71825" w:rsidP="00B71825">
      <w:pPr>
        <w:spacing w:after="160" w:line="259" w:lineRule="auto"/>
        <w:jc w:val="center"/>
      </w:pPr>
      <w:r>
        <w:rPr>
          <w:noProof/>
        </w:rPr>
        <w:drawing>
          <wp:inline distT="0" distB="0" distL="0" distR="0" wp14:anchorId="18B60D09" wp14:editId="1B1ED2EF">
            <wp:extent cx="4224528" cy="2377440"/>
            <wp:effectExtent l="0" t="0" r="508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lide62.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rsidR="00B71825" w:rsidRDefault="00B71825" w:rsidP="00B71825">
      <w:pPr>
        <w:spacing w:after="160" w:line="259" w:lineRule="auto"/>
        <w:jc w:val="center"/>
      </w:pPr>
      <w:r>
        <w:rPr>
          <w:noProof/>
        </w:rPr>
        <w:drawing>
          <wp:inline distT="0" distB="0" distL="0" distR="0" wp14:anchorId="0063D359" wp14:editId="10AFC08C">
            <wp:extent cx="4224528" cy="2377440"/>
            <wp:effectExtent l="0" t="0" r="508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63.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rsidR="00B71825" w:rsidRDefault="00B71825" w:rsidP="00B71825">
      <w:pPr>
        <w:spacing w:after="160" w:line="259" w:lineRule="auto"/>
        <w:jc w:val="center"/>
      </w:pPr>
      <w:r>
        <w:rPr>
          <w:noProof/>
        </w:rPr>
        <w:lastRenderedPageBreak/>
        <w:drawing>
          <wp:inline distT="0" distB="0" distL="0" distR="0" wp14:anchorId="4EEDD8B4" wp14:editId="4110BF94">
            <wp:extent cx="4224528" cy="2377440"/>
            <wp:effectExtent l="19050" t="19050" r="24130" b="2286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lide64.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a:ln>
                      <a:solidFill>
                        <a:schemeClr val="tx1"/>
                      </a:solidFill>
                    </a:ln>
                  </pic:spPr>
                </pic:pic>
              </a:graphicData>
            </a:graphic>
          </wp:inline>
        </w:drawing>
      </w:r>
    </w:p>
    <w:p w:rsidR="00B71825" w:rsidRDefault="00B71825" w:rsidP="00B71825">
      <w:pPr>
        <w:spacing w:after="160" w:line="259" w:lineRule="auto"/>
        <w:jc w:val="center"/>
      </w:pPr>
      <w:r>
        <w:rPr>
          <w:noProof/>
        </w:rPr>
        <w:drawing>
          <wp:inline distT="0" distB="0" distL="0" distR="0" wp14:anchorId="3ADFE32E" wp14:editId="3A1B2418">
            <wp:extent cx="4224528" cy="2377440"/>
            <wp:effectExtent l="0" t="0" r="5080" b="381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lide65.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rsidR="00B71825" w:rsidRDefault="00B71825" w:rsidP="00B71825">
      <w:pPr>
        <w:spacing w:after="160" w:line="259" w:lineRule="auto"/>
        <w:jc w:val="center"/>
      </w:pPr>
      <w:r>
        <w:rPr>
          <w:noProof/>
        </w:rPr>
        <w:drawing>
          <wp:inline distT="0" distB="0" distL="0" distR="0" wp14:anchorId="0117F93F" wp14:editId="0FC19CAA">
            <wp:extent cx="4224528" cy="2377440"/>
            <wp:effectExtent l="0" t="0" r="508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lide66.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rsidR="00B71825" w:rsidRDefault="00B71825" w:rsidP="00B71825">
      <w:pPr>
        <w:spacing w:after="160" w:line="259" w:lineRule="auto"/>
        <w:jc w:val="center"/>
      </w:pPr>
    </w:p>
    <w:p w:rsidR="00B71825" w:rsidRDefault="00B71825" w:rsidP="00B71825">
      <w:pPr>
        <w:spacing w:after="160" w:line="259" w:lineRule="auto"/>
        <w:jc w:val="center"/>
      </w:pPr>
      <w:r>
        <w:rPr>
          <w:noProof/>
        </w:rPr>
        <w:lastRenderedPageBreak/>
        <w:drawing>
          <wp:inline distT="0" distB="0" distL="0" distR="0" wp14:anchorId="40A9B13F" wp14:editId="49018FEF">
            <wp:extent cx="4224528" cy="2377440"/>
            <wp:effectExtent l="0" t="0" r="508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4224528" cy="2377440"/>
                    </a:xfrm>
                    <a:prstGeom prst="rect">
                      <a:avLst/>
                    </a:prstGeom>
                  </pic:spPr>
                </pic:pic>
              </a:graphicData>
            </a:graphic>
          </wp:inline>
        </w:drawing>
      </w:r>
    </w:p>
    <w:p w:rsidR="00B71825" w:rsidRDefault="00B71825" w:rsidP="00B71825">
      <w:pPr>
        <w:spacing w:after="160" w:line="259" w:lineRule="auto"/>
        <w:jc w:val="center"/>
      </w:pPr>
      <w:r>
        <w:rPr>
          <w:noProof/>
        </w:rPr>
        <w:drawing>
          <wp:inline distT="0" distB="0" distL="0" distR="0" wp14:anchorId="305A4AD3" wp14:editId="58AF729F">
            <wp:extent cx="4224528" cy="2376297"/>
            <wp:effectExtent l="0" t="0" r="508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rsidR="00B71825" w:rsidRDefault="00B71825" w:rsidP="00B71825">
      <w:pPr>
        <w:spacing w:after="160" w:line="259" w:lineRule="auto"/>
        <w:jc w:val="center"/>
      </w:pPr>
      <w:r>
        <w:rPr>
          <w:noProof/>
        </w:rPr>
        <w:drawing>
          <wp:inline distT="0" distB="0" distL="0" distR="0" wp14:anchorId="4C7013A2" wp14:editId="0129C9DE">
            <wp:extent cx="4224528" cy="2376297"/>
            <wp:effectExtent l="0" t="0" r="5080" b="508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rsidR="00867D81" w:rsidRDefault="00867D81" w:rsidP="00B71825">
      <w:pPr>
        <w:spacing w:after="160" w:line="259" w:lineRule="auto"/>
        <w:jc w:val="center"/>
      </w:pPr>
      <w:r>
        <w:rPr>
          <w:noProof/>
        </w:rPr>
        <w:lastRenderedPageBreak/>
        <w:drawing>
          <wp:inline distT="0" distB="0" distL="0" distR="0" wp14:anchorId="345BD639" wp14:editId="299A7DDC">
            <wp:extent cx="4224528" cy="2376297"/>
            <wp:effectExtent l="0" t="0" r="5080" b="508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rsidR="00867D81" w:rsidRDefault="00867D81" w:rsidP="00B71825">
      <w:pPr>
        <w:spacing w:after="160" w:line="259" w:lineRule="auto"/>
        <w:jc w:val="center"/>
      </w:pPr>
      <w:r>
        <w:rPr>
          <w:noProof/>
        </w:rPr>
        <w:drawing>
          <wp:inline distT="0" distB="0" distL="0" distR="0" wp14:anchorId="72744D97" wp14:editId="0F301EF7">
            <wp:extent cx="4224528" cy="2376297"/>
            <wp:effectExtent l="0" t="0" r="5080" b="508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rsidR="00867D81" w:rsidRDefault="00867D81" w:rsidP="00B71825">
      <w:pPr>
        <w:spacing w:after="160" w:line="259" w:lineRule="auto"/>
        <w:jc w:val="center"/>
        <w:rPr>
          <w:noProof/>
        </w:rPr>
      </w:pPr>
    </w:p>
    <w:p w:rsidR="00867D81" w:rsidRDefault="00867D81" w:rsidP="00B71825">
      <w:pPr>
        <w:spacing w:after="160" w:line="259" w:lineRule="auto"/>
        <w:jc w:val="center"/>
      </w:pPr>
      <w:r>
        <w:rPr>
          <w:noProof/>
        </w:rPr>
        <w:drawing>
          <wp:inline distT="0" distB="0" distL="0" distR="0" wp14:anchorId="005AF84C" wp14:editId="6638E8E3">
            <wp:extent cx="4224528" cy="2376297"/>
            <wp:effectExtent l="0" t="0" r="5080"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pic:spPr>
                </pic:pic>
              </a:graphicData>
            </a:graphic>
          </wp:inline>
        </w:drawing>
      </w:r>
    </w:p>
    <w:p w:rsidR="00867D81" w:rsidRDefault="00867D81" w:rsidP="00B71825">
      <w:pPr>
        <w:spacing w:after="160" w:line="259" w:lineRule="auto"/>
        <w:jc w:val="center"/>
      </w:pPr>
      <w:r>
        <w:rPr>
          <w:noProof/>
        </w:rPr>
        <w:lastRenderedPageBreak/>
        <w:drawing>
          <wp:inline distT="0" distB="0" distL="0" distR="0" wp14:anchorId="61FF54F3" wp14:editId="46FD8ABD">
            <wp:extent cx="4224528" cy="2376297"/>
            <wp:effectExtent l="19050" t="19050" r="24130" b="2413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rsidR="00867D81" w:rsidRDefault="00867D81" w:rsidP="006033D7">
      <w:pPr>
        <w:spacing w:after="160" w:line="259" w:lineRule="auto"/>
        <w:jc w:val="center"/>
      </w:pPr>
      <w:r>
        <w:rPr>
          <w:noProof/>
        </w:rPr>
        <w:drawing>
          <wp:inline distT="0" distB="0" distL="0" distR="0" wp14:anchorId="4751D003" wp14:editId="38691955">
            <wp:extent cx="4224528" cy="2376297"/>
            <wp:effectExtent l="19050" t="19050" r="24130" b="2413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rsidR="00867D81" w:rsidRDefault="00867D81" w:rsidP="00B71825">
      <w:pPr>
        <w:spacing w:after="160" w:line="259" w:lineRule="auto"/>
        <w:jc w:val="center"/>
      </w:pPr>
      <w:r>
        <w:rPr>
          <w:noProof/>
        </w:rPr>
        <w:drawing>
          <wp:inline distT="0" distB="0" distL="0" distR="0" wp14:anchorId="7219523A" wp14:editId="48BDE5E2">
            <wp:extent cx="4224528" cy="2376297"/>
            <wp:effectExtent l="19050" t="19050" r="24130" b="241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rsidR="00867D81" w:rsidRDefault="00867D81" w:rsidP="00B71825">
      <w:pPr>
        <w:spacing w:after="160" w:line="259" w:lineRule="auto"/>
        <w:jc w:val="center"/>
      </w:pPr>
    </w:p>
    <w:p w:rsidR="00867D81" w:rsidRDefault="00867D81" w:rsidP="00B71825">
      <w:pPr>
        <w:spacing w:after="160" w:line="259" w:lineRule="auto"/>
        <w:jc w:val="center"/>
      </w:pPr>
      <w:r>
        <w:rPr>
          <w:noProof/>
        </w:rPr>
        <w:lastRenderedPageBreak/>
        <w:drawing>
          <wp:inline distT="0" distB="0" distL="0" distR="0" wp14:anchorId="6F9CF243" wp14:editId="5DD7BDDE">
            <wp:extent cx="4224528" cy="2376297"/>
            <wp:effectExtent l="19050" t="19050" r="24130" b="2413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rsidR="00867D81" w:rsidRDefault="00867D81" w:rsidP="00B71825">
      <w:pPr>
        <w:spacing w:after="160" w:line="259" w:lineRule="auto"/>
        <w:jc w:val="center"/>
      </w:pPr>
      <w:r>
        <w:rPr>
          <w:noProof/>
        </w:rPr>
        <w:drawing>
          <wp:inline distT="0" distB="0" distL="0" distR="0" wp14:anchorId="5545495A" wp14:editId="58E0E6E1">
            <wp:extent cx="4224528" cy="2376297"/>
            <wp:effectExtent l="19050" t="19050" r="24130" b="2413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4224528" cy="2376297"/>
                    </a:xfrm>
                    <a:prstGeom prst="rect">
                      <a:avLst/>
                    </a:prstGeom>
                    <a:ln>
                      <a:solidFill>
                        <a:schemeClr val="tx1"/>
                      </a:solidFill>
                    </a:ln>
                  </pic:spPr>
                </pic:pic>
              </a:graphicData>
            </a:graphic>
          </wp:inline>
        </w:drawing>
      </w:r>
    </w:p>
    <w:p w:rsidR="001A0864" w:rsidRDefault="00E27205" w:rsidP="00B71825">
      <w:pPr>
        <w:spacing w:after="160" w:line="259" w:lineRule="auto"/>
        <w:jc w:val="center"/>
      </w:pPr>
      <w:r>
        <w:rPr>
          <w:noProof/>
        </w:rPr>
        <w:drawing>
          <wp:anchor distT="0" distB="0" distL="114300" distR="114300" simplePos="0" relativeHeight="251785216" behindDoc="0" locked="0" layoutInCell="1" allowOverlap="1" wp14:anchorId="3C4F846F" wp14:editId="37F265BE">
            <wp:simplePos x="0" y="0"/>
            <wp:positionH relativeFrom="column">
              <wp:posOffset>1081405</wp:posOffset>
            </wp:positionH>
            <wp:positionV relativeFrom="page">
              <wp:posOffset>6048375</wp:posOffset>
            </wp:positionV>
            <wp:extent cx="4228465" cy="2378710"/>
            <wp:effectExtent l="0" t="0" r="635" b="254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lide57.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4228465" cy="2378710"/>
                    </a:xfrm>
                    <a:prstGeom prst="rect">
                      <a:avLst/>
                    </a:prstGeom>
                  </pic:spPr>
                </pic:pic>
              </a:graphicData>
            </a:graphic>
            <wp14:sizeRelH relativeFrom="margin">
              <wp14:pctWidth>0</wp14:pctWidth>
            </wp14:sizeRelH>
            <wp14:sizeRelV relativeFrom="margin">
              <wp14:pctHeight>0</wp14:pctHeight>
            </wp14:sizeRelV>
          </wp:anchor>
        </w:drawing>
      </w:r>
    </w:p>
    <w:p w:rsidR="001A0864" w:rsidRDefault="001A0864" w:rsidP="00B71825">
      <w:pPr>
        <w:spacing w:after="160" w:line="259" w:lineRule="auto"/>
        <w:jc w:val="center"/>
      </w:pPr>
    </w:p>
    <w:p w:rsidR="001A0864" w:rsidRDefault="001A0864" w:rsidP="00B71825">
      <w:pPr>
        <w:spacing w:after="160" w:line="259" w:lineRule="auto"/>
        <w:jc w:val="center"/>
      </w:pPr>
    </w:p>
    <w:p w:rsidR="001A0864" w:rsidRDefault="001A0864" w:rsidP="00B71825">
      <w:pPr>
        <w:spacing w:after="160" w:line="259" w:lineRule="auto"/>
        <w:jc w:val="center"/>
      </w:pPr>
    </w:p>
    <w:p w:rsidR="001A0864" w:rsidRDefault="001A0864" w:rsidP="00B71825">
      <w:pPr>
        <w:spacing w:after="160" w:line="259" w:lineRule="auto"/>
        <w:jc w:val="center"/>
      </w:pPr>
    </w:p>
    <w:p w:rsidR="001A0864" w:rsidRDefault="001A0864" w:rsidP="00B71825">
      <w:pPr>
        <w:spacing w:after="160" w:line="259" w:lineRule="auto"/>
        <w:jc w:val="center"/>
      </w:pPr>
    </w:p>
    <w:p w:rsidR="001A0864" w:rsidRDefault="001A0864" w:rsidP="00B71825">
      <w:pPr>
        <w:spacing w:after="160" w:line="259" w:lineRule="auto"/>
        <w:jc w:val="center"/>
      </w:pPr>
    </w:p>
    <w:p w:rsidR="00867D81" w:rsidRDefault="00E27205" w:rsidP="00B71825">
      <w:pPr>
        <w:spacing w:after="160" w:line="259" w:lineRule="auto"/>
        <w:jc w:val="center"/>
      </w:pPr>
      <w:r>
        <w:rPr>
          <w:noProof/>
        </w:rPr>
        <w:lastRenderedPageBreak/>
        <w:drawing>
          <wp:anchor distT="0" distB="0" distL="114300" distR="114300" simplePos="0" relativeHeight="251786240" behindDoc="0" locked="0" layoutInCell="1" allowOverlap="1" wp14:anchorId="58B8E7F3" wp14:editId="3DC6B379">
            <wp:simplePos x="0" y="0"/>
            <wp:positionH relativeFrom="column">
              <wp:posOffset>1085850</wp:posOffset>
            </wp:positionH>
            <wp:positionV relativeFrom="page">
              <wp:posOffset>584200</wp:posOffset>
            </wp:positionV>
            <wp:extent cx="4229735" cy="2378710"/>
            <wp:effectExtent l="0" t="0" r="0" b="254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Slide58.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4229735" cy="2378710"/>
                    </a:xfrm>
                    <a:prstGeom prst="rect">
                      <a:avLst/>
                    </a:prstGeom>
                  </pic:spPr>
                </pic:pic>
              </a:graphicData>
            </a:graphic>
            <wp14:sizeRelH relativeFrom="margin">
              <wp14:pctWidth>0</wp14:pctWidth>
            </wp14:sizeRelH>
            <wp14:sizeRelV relativeFrom="margin">
              <wp14:pctHeight>0</wp14:pctHeight>
            </wp14:sizeRelV>
          </wp:anchor>
        </w:drawing>
      </w:r>
    </w:p>
    <w:p w:rsidR="001A0864" w:rsidRDefault="00E27205" w:rsidP="00B71825">
      <w:pPr>
        <w:spacing w:after="160" w:line="259" w:lineRule="auto"/>
        <w:jc w:val="center"/>
      </w:pPr>
      <w:r>
        <w:rPr>
          <w:noProof/>
        </w:rPr>
        <w:drawing>
          <wp:anchor distT="0" distB="0" distL="114300" distR="114300" simplePos="0" relativeHeight="251788288" behindDoc="0" locked="0" layoutInCell="1" allowOverlap="1" wp14:anchorId="217FCA5B" wp14:editId="76E211CC">
            <wp:simplePos x="0" y="0"/>
            <wp:positionH relativeFrom="column">
              <wp:posOffset>1038225</wp:posOffset>
            </wp:positionH>
            <wp:positionV relativeFrom="paragraph">
              <wp:posOffset>158115</wp:posOffset>
            </wp:positionV>
            <wp:extent cx="4224020" cy="2376170"/>
            <wp:effectExtent l="19050" t="19050" r="24130" b="2413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4224020" cy="2376170"/>
                    </a:xfrm>
                    <a:prstGeom prst="rect">
                      <a:avLst/>
                    </a:prstGeom>
                    <a:ln>
                      <a:solidFill>
                        <a:schemeClr val="tx1"/>
                      </a:solidFill>
                    </a:ln>
                  </pic:spPr>
                </pic:pic>
              </a:graphicData>
            </a:graphic>
          </wp:anchor>
        </w:drawing>
      </w:r>
    </w:p>
    <w:p w:rsidR="00867D81" w:rsidRDefault="00867D81" w:rsidP="00B71825">
      <w:pPr>
        <w:spacing w:after="160" w:line="259" w:lineRule="auto"/>
        <w:jc w:val="center"/>
      </w:pPr>
    </w:p>
    <w:p w:rsidR="00867D81" w:rsidRDefault="00867D81" w:rsidP="00B71825">
      <w:pPr>
        <w:spacing w:after="160" w:line="259" w:lineRule="auto"/>
        <w:jc w:val="center"/>
      </w:pPr>
    </w:p>
    <w:p w:rsidR="00867D81" w:rsidRDefault="00867D81" w:rsidP="00B71825">
      <w:pPr>
        <w:spacing w:after="160" w:line="259" w:lineRule="auto"/>
        <w:jc w:val="center"/>
      </w:pPr>
    </w:p>
    <w:p w:rsidR="001A0864" w:rsidRDefault="001A0864" w:rsidP="001A0864">
      <w:pPr>
        <w:spacing w:after="160" w:line="259" w:lineRule="auto"/>
        <w:rPr>
          <w:noProof/>
        </w:rPr>
      </w:pPr>
    </w:p>
    <w:p w:rsidR="001A0864" w:rsidRDefault="001A0864" w:rsidP="00B71825">
      <w:pPr>
        <w:spacing w:after="160" w:line="259" w:lineRule="auto"/>
        <w:jc w:val="center"/>
        <w:rPr>
          <w:noProof/>
        </w:rPr>
      </w:pPr>
    </w:p>
    <w:p w:rsidR="001A0864" w:rsidRDefault="001A0864" w:rsidP="00B71825">
      <w:pPr>
        <w:spacing w:after="160" w:line="259" w:lineRule="auto"/>
        <w:jc w:val="center"/>
        <w:rPr>
          <w:noProof/>
        </w:rPr>
      </w:pPr>
    </w:p>
    <w:p w:rsidR="001A0864" w:rsidRDefault="001A0864" w:rsidP="00B71825">
      <w:pPr>
        <w:spacing w:after="160" w:line="259" w:lineRule="auto"/>
        <w:jc w:val="center"/>
      </w:pPr>
    </w:p>
    <w:p w:rsidR="001A0864" w:rsidRDefault="00E27205" w:rsidP="00B71825">
      <w:pPr>
        <w:spacing w:after="160" w:line="259" w:lineRule="auto"/>
        <w:jc w:val="center"/>
      </w:pPr>
      <w:r>
        <w:rPr>
          <w:noProof/>
        </w:rPr>
        <w:drawing>
          <wp:anchor distT="0" distB="0" distL="114300" distR="114300" simplePos="0" relativeHeight="251787264" behindDoc="0" locked="0" layoutInCell="1" allowOverlap="1" wp14:anchorId="1E44602C" wp14:editId="4C6E3BBA">
            <wp:simplePos x="0" y="0"/>
            <wp:positionH relativeFrom="column">
              <wp:posOffset>1034415</wp:posOffset>
            </wp:positionH>
            <wp:positionV relativeFrom="paragraph">
              <wp:posOffset>375285</wp:posOffset>
            </wp:positionV>
            <wp:extent cx="4224020" cy="2376170"/>
            <wp:effectExtent l="19050" t="19050" r="24130" b="24130"/>
            <wp:wrapTopAndBottom/>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lide67.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4224020" cy="2376170"/>
                    </a:xfrm>
                    <a:prstGeom prst="rect">
                      <a:avLst/>
                    </a:prstGeom>
                    <a:ln>
                      <a:solidFill>
                        <a:schemeClr val="tx1"/>
                      </a:solidFill>
                    </a:ln>
                  </pic:spPr>
                </pic:pic>
              </a:graphicData>
            </a:graphic>
          </wp:anchor>
        </w:drawing>
      </w:r>
    </w:p>
    <w:p w:rsidR="001A0864" w:rsidRDefault="001A0864" w:rsidP="00B71825">
      <w:pPr>
        <w:spacing w:after="160" w:line="259" w:lineRule="auto"/>
        <w:jc w:val="center"/>
      </w:pPr>
    </w:p>
    <w:p w:rsidR="001A0864" w:rsidRDefault="001A0864" w:rsidP="00E27205">
      <w:pPr>
        <w:spacing w:after="160" w:line="259" w:lineRule="auto"/>
      </w:pPr>
    </w:p>
    <w:p w:rsidR="001A0864" w:rsidRDefault="001A0864" w:rsidP="00B71825">
      <w:pPr>
        <w:spacing w:after="160" w:line="259" w:lineRule="auto"/>
        <w:jc w:val="center"/>
      </w:pPr>
    </w:p>
    <w:p w:rsidR="001A0864" w:rsidRDefault="001A0864" w:rsidP="00B71825">
      <w:pPr>
        <w:spacing w:after="160" w:line="259" w:lineRule="auto"/>
        <w:jc w:val="center"/>
      </w:pPr>
      <w:r>
        <w:rPr>
          <w:noProof/>
        </w:rPr>
        <w:lastRenderedPageBreak/>
        <w:drawing>
          <wp:inline distT="0" distB="0" distL="0" distR="0" wp14:anchorId="4DB5EEA1" wp14:editId="145228F2">
            <wp:extent cx="6265333" cy="3524250"/>
            <wp:effectExtent l="19050" t="19050" r="21590" b="190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de86.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282962" cy="3534166"/>
                    </a:xfrm>
                    <a:prstGeom prst="rect">
                      <a:avLst/>
                    </a:prstGeom>
                    <a:ln>
                      <a:solidFill>
                        <a:schemeClr val="tx1"/>
                      </a:solidFill>
                    </a:ln>
                  </pic:spPr>
                </pic:pic>
              </a:graphicData>
            </a:graphic>
          </wp:inline>
        </w:drawing>
      </w:r>
    </w:p>
    <w:p w:rsidR="001A0864" w:rsidRDefault="001A0864" w:rsidP="00B71825">
      <w:pPr>
        <w:spacing w:after="160" w:line="259" w:lineRule="auto"/>
        <w:jc w:val="center"/>
      </w:pPr>
    </w:p>
    <w:p w:rsidR="001A0864" w:rsidRDefault="001A0864" w:rsidP="00B71825">
      <w:pPr>
        <w:spacing w:after="160" w:line="259" w:lineRule="auto"/>
        <w:jc w:val="center"/>
      </w:pPr>
    </w:p>
    <w:p w:rsidR="001A0864" w:rsidRDefault="001A0864" w:rsidP="00B71825">
      <w:pPr>
        <w:spacing w:after="160" w:line="259" w:lineRule="auto"/>
        <w:jc w:val="center"/>
        <w:rPr>
          <w:b/>
          <w:bCs/>
        </w:rPr>
      </w:pPr>
    </w:p>
    <w:p w:rsidR="00F46680" w:rsidRDefault="00ED34C1" w:rsidP="00B71825">
      <w:pPr>
        <w:spacing w:after="160" w:line="259" w:lineRule="auto"/>
        <w:jc w:val="center"/>
        <w:rPr>
          <w:b/>
          <w:bCs/>
        </w:rPr>
      </w:pPr>
      <w:r>
        <w:rPr>
          <w:noProof/>
        </w:rPr>
        <w:drawing>
          <wp:anchor distT="0" distB="0" distL="114300" distR="114300" simplePos="0" relativeHeight="251790336" behindDoc="0" locked="0" layoutInCell="1" allowOverlap="1" wp14:anchorId="1FED5509" wp14:editId="5960C223">
            <wp:simplePos x="0" y="0"/>
            <wp:positionH relativeFrom="column">
              <wp:posOffset>885825</wp:posOffset>
            </wp:positionH>
            <wp:positionV relativeFrom="paragraph">
              <wp:posOffset>174625</wp:posOffset>
            </wp:positionV>
            <wp:extent cx="4659902" cy="2620645"/>
            <wp:effectExtent l="0" t="0" r="7620" b="825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lide87.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4659902" cy="2620645"/>
                    </a:xfrm>
                    <a:prstGeom prst="rect">
                      <a:avLst/>
                    </a:prstGeom>
                  </pic:spPr>
                </pic:pic>
              </a:graphicData>
            </a:graphic>
            <wp14:sizeRelH relativeFrom="margin">
              <wp14:pctWidth>0</wp14:pctWidth>
            </wp14:sizeRelH>
            <wp14:sizeRelV relativeFrom="margin">
              <wp14:pctHeight>0</wp14:pctHeight>
            </wp14:sizeRelV>
          </wp:anchor>
        </w:drawing>
      </w:r>
    </w:p>
    <w:p w:rsidR="00F46680" w:rsidRDefault="00F46680" w:rsidP="00B71825">
      <w:pPr>
        <w:spacing w:after="160" w:line="259" w:lineRule="auto"/>
        <w:jc w:val="center"/>
        <w:rPr>
          <w:b/>
          <w:bCs/>
        </w:rPr>
      </w:pPr>
    </w:p>
    <w:p w:rsidR="00F46680" w:rsidRDefault="00F46680" w:rsidP="00B71825">
      <w:pPr>
        <w:spacing w:after="160" w:line="259" w:lineRule="auto"/>
        <w:jc w:val="center"/>
        <w:rPr>
          <w:b/>
          <w:bCs/>
        </w:rPr>
      </w:pPr>
    </w:p>
    <w:p w:rsidR="00F46680" w:rsidRDefault="00F46680" w:rsidP="00B71825">
      <w:pPr>
        <w:spacing w:after="160" w:line="259" w:lineRule="auto"/>
        <w:jc w:val="center"/>
        <w:rPr>
          <w:b/>
          <w:bCs/>
        </w:rPr>
      </w:pPr>
    </w:p>
    <w:p w:rsidR="006033D7" w:rsidRDefault="006033D7" w:rsidP="00B71825">
      <w:pPr>
        <w:spacing w:after="160" w:line="259" w:lineRule="auto"/>
        <w:jc w:val="center"/>
        <w:rPr>
          <w:b/>
          <w:bCs/>
        </w:rPr>
      </w:pPr>
    </w:p>
    <w:p w:rsidR="00E27205" w:rsidRDefault="00E27205" w:rsidP="00B71825">
      <w:pPr>
        <w:spacing w:after="160" w:line="259" w:lineRule="auto"/>
        <w:jc w:val="center"/>
        <w:rPr>
          <w:b/>
          <w:bCs/>
        </w:rPr>
      </w:pPr>
    </w:p>
    <w:p w:rsidR="00E27205" w:rsidRDefault="00E27205" w:rsidP="00B71825">
      <w:pPr>
        <w:spacing w:after="160" w:line="259" w:lineRule="auto"/>
        <w:jc w:val="center"/>
        <w:rPr>
          <w:b/>
          <w:bCs/>
        </w:rPr>
      </w:pPr>
    </w:p>
    <w:p w:rsidR="00E27205" w:rsidRDefault="00E27205" w:rsidP="00B71825">
      <w:pPr>
        <w:spacing w:after="160" w:line="259" w:lineRule="auto"/>
        <w:jc w:val="center"/>
        <w:rPr>
          <w:b/>
          <w:bCs/>
        </w:rPr>
      </w:pPr>
    </w:p>
    <w:p w:rsidR="00E27205" w:rsidRDefault="00E27205" w:rsidP="00B71825">
      <w:pPr>
        <w:spacing w:after="160" w:line="259" w:lineRule="auto"/>
        <w:jc w:val="center"/>
        <w:rPr>
          <w:b/>
          <w:bCs/>
        </w:rPr>
      </w:pPr>
    </w:p>
    <w:p w:rsidR="00E27205" w:rsidRDefault="00E27205" w:rsidP="00B71825">
      <w:pPr>
        <w:spacing w:after="160" w:line="259" w:lineRule="auto"/>
        <w:jc w:val="center"/>
        <w:rPr>
          <w:b/>
          <w:bCs/>
        </w:rPr>
      </w:pPr>
    </w:p>
    <w:p w:rsidR="00E27205" w:rsidRDefault="00E27205" w:rsidP="00B71825">
      <w:pPr>
        <w:spacing w:after="160" w:line="259" w:lineRule="auto"/>
        <w:jc w:val="center"/>
        <w:rPr>
          <w:b/>
          <w:bCs/>
        </w:rPr>
      </w:pPr>
    </w:p>
    <w:p w:rsidR="00F46680" w:rsidRDefault="00F46680" w:rsidP="00B71825">
      <w:pPr>
        <w:spacing w:after="160" w:line="259" w:lineRule="auto"/>
        <w:jc w:val="center"/>
        <w:rPr>
          <w:b/>
          <w:bCs/>
        </w:rPr>
      </w:pPr>
    </w:p>
    <w:p w:rsidR="00BC2D61" w:rsidRDefault="00840853" w:rsidP="00B71825">
      <w:pPr>
        <w:pStyle w:val="Heading2"/>
      </w:pPr>
      <w:bookmarkStart w:id="148" w:name="_Toc20256124"/>
      <w:r>
        <w:lastRenderedPageBreak/>
        <w:t>Resources</w:t>
      </w:r>
      <w:bookmarkEnd w:id="148"/>
    </w:p>
    <w:p w:rsidR="00BC2D61" w:rsidRDefault="00BC2D61" w:rsidP="001D5760">
      <w:pPr>
        <w:jc w:val="center"/>
      </w:pPr>
    </w:p>
    <w:p w:rsidR="00BC2D61" w:rsidRPr="00F72FCC" w:rsidRDefault="00BC2D61" w:rsidP="00BC2D61">
      <w:pPr>
        <w:pStyle w:val="Heading3"/>
      </w:pPr>
      <w:bookmarkStart w:id="149" w:name="_Toc20256125"/>
      <w:r w:rsidRPr="00F72FCC">
        <w:t>Websites</w:t>
      </w:r>
      <w:bookmarkEnd w:id="149"/>
    </w:p>
    <w:p w:rsidR="00BC2D61" w:rsidRPr="00F72FCC" w:rsidRDefault="00BC2D61" w:rsidP="00BC2D61"/>
    <w:p w:rsidR="00BC2D61" w:rsidRPr="00813EAE" w:rsidRDefault="00A82B37" w:rsidP="0085409A">
      <w:pPr>
        <w:pStyle w:val="ListParagraph"/>
        <w:numPr>
          <w:ilvl w:val="0"/>
          <w:numId w:val="8"/>
        </w:numPr>
        <w:rPr>
          <w:rStyle w:val="Hyperlink"/>
          <w:color w:val="auto"/>
        </w:rPr>
      </w:pPr>
      <w:hyperlink r:id="rId177" w:history="1">
        <w:r w:rsidR="00BC2D61" w:rsidRPr="00813EAE">
          <w:rPr>
            <w:rStyle w:val="Hyperlink"/>
            <w:color w:val="auto"/>
          </w:rPr>
          <w:t>www.hud.gov</w:t>
        </w:r>
      </w:hyperlink>
    </w:p>
    <w:p w:rsidR="00BC2D61" w:rsidRPr="00813EAE" w:rsidRDefault="00BC2D61" w:rsidP="00BC2D61"/>
    <w:p w:rsidR="00BC2D61" w:rsidRPr="00813EAE" w:rsidRDefault="00A82B37" w:rsidP="0085409A">
      <w:pPr>
        <w:pStyle w:val="ListParagraph"/>
        <w:numPr>
          <w:ilvl w:val="0"/>
          <w:numId w:val="8"/>
        </w:numPr>
      </w:pPr>
      <w:hyperlink r:id="rId178" w:history="1">
        <w:r w:rsidR="00BC2D61" w:rsidRPr="00813EAE">
          <w:rPr>
            <w:rStyle w:val="Hyperlink"/>
            <w:color w:val="auto"/>
          </w:rPr>
          <w:t>https://www.ag.state.la.us/FairHousing</w:t>
        </w:r>
      </w:hyperlink>
      <w:r w:rsidR="00BC2D61" w:rsidRPr="00813EAE">
        <w:t xml:space="preserve"> (Louisiana State Department of Justice)</w:t>
      </w:r>
    </w:p>
    <w:p w:rsidR="00BC2D61" w:rsidRPr="00813EAE" w:rsidRDefault="00BC2D61" w:rsidP="00BC2D61"/>
    <w:p w:rsidR="00BC2D61" w:rsidRPr="00813EAE" w:rsidRDefault="00A82B37" w:rsidP="0085409A">
      <w:pPr>
        <w:pStyle w:val="ListParagraph"/>
        <w:numPr>
          <w:ilvl w:val="0"/>
          <w:numId w:val="8"/>
        </w:numPr>
      </w:pPr>
      <w:hyperlink r:id="rId179" w:history="1">
        <w:r w:rsidR="00BC2D61" w:rsidRPr="00813EAE">
          <w:rPr>
            <w:rStyle w:val="Hyperlink"/>
            <w:color w:val="auto"/>
          </w:rPr>
          <w:t>www.nar.realtor/fairhousing</w:t>
        </w:r>
      </w:hyperlink>
      <w:r w:rsidR="00BC2D61" w:rsidRPr="00813EAE">
        <w:t xml:space="preserve"> </w:t>
      </w:r>
    </w:p>
    <w:p w:rsidR="00BC2D61" w:rsidRPr="00813EAE" w:rsidRDefault="00BC2D61" w:rsidP="00BC2D61"/>
    <w:p w:rsidR="00BC2D61" w:rsidRPr="00813EAE" w:rsidRDefault="00A82B37" w:rsidP="0085409A">
      <w:pPr>
        <w:pStyle w:val="ListParagraph"/>
        <w:numPr>
          <w:ilvl w:val="0"/>
          <w:numId w:val="8"/>
        </w:numPr>
      </w:pPr>
      <w:hyperlink r:id="rId180" w:history="1">
        <w:r w:rsidR="00BC2D61" w:rsidRPr="00813EAE">
          <w:rPr>
            <w:rStyle w:val="Hyperlink"/>
            <w:color w:val="auto"/>
          </w:rPr>
          <w:t>www.realtor.org/diversity</w:t>
        </w:r>
      </w:hyperlink>
      <w:r w:rsidR="00BC2D61" w:rsidRPr="00813EAE">
        <w:t xml:space="preserve"> </w:t>
      </w:r>
    </w:p>
    <w:p w:rsidR="00BC2D61" w:rsidRPr="00813EAE" w:rsidRDefault="00BC2D61" w:rsidP="00BC2D61"/>
    <w:p w:rsidR="00BC2D61" w:rsidRPr="00813EAE" w:rsidRDefault="00A82B37" w:rsidP="0085409A">
      <w:pPr>
        <w:pStyle w:val="ListParagraph"/>
        <w:numPr>
          <w:ilvl w:val="0"/>
          <w:numId w:val="8"/>
        </w:numPr>
      </w:pPr>
      <w:hyperlink r:id="rId181" w:history="1">
        <w:r w:rsidR="00BC2D61" w:rsidRPr="00813EAE">
          <w:rPr>
            <w:rStyle w:val="Hyperlink"/>
            <w:color w:val="auto"/>
          </w:rPr>
          <w:t>www.nahrep.com</w:t>
        </w:r>
      </w:hyperlink>
      <w:r w:rsidR="00BC2D61" w:rsidRPr="00813EAE">
        <w:t xml:space="preserve"> (National Association of Hispanic Real Estate Professionals) </w:t>
      </w:r>
    </w:p>
    <w:p w:rsidR="00BC2D61" w:rsidRPr="00813EAE" w:rsidRDefault="00BC2D61" w:rsidP="00BC2D61"/>
    <w:p w:rsidR="00BC2D61" w:rsidRPr="00813EAE" w:rsidRDefault="00A82B37" w:rsidP="0085409A">
      <w:pPr>
        <w:pStyle w:val="ListParagraph"/>
        <w:numPr>
          <w:ilvl w:val="0"/>
          <w:numId w:val="8"/>
        </w:numPr>
      </w:pPr>
      <w:hyperlink r:id="rId182" w:history="1">
        <w:r w:rsidR="00BC2D61" w:rsidRPr="00813EAE">
          <w:rPr>
            <w:rStyle w:val="Hyperlink"/>
            <w:color w:val="auto"/>
          </w:rPr>
          <w:t>www.afire.com</w:t>
        </w:r>
      </w:hyperlink>
      <w:r w:rsidR="00BC2D61" w:rsidRPr="00813EAE">
        <w:t xml:space="preserve"> (Association of Foreign Investors in Real Estate) </w:t>
      </w:r>
    </w:p>
    <w:p w:rsidR="00BC2D61" w:rsidRPr="00813EAE" w:rsidRDefault="00BC2D61" w:rsidP="00BC2D61"/>
    <w:p w:rsidR="00BC2D61" w:rsidRPr="00813EAE" w:rsidRDefault="00A82B37" w:rsidP="0085409A">
      <w:pPr>
        <w:pStyle w:val="ListParagraph"/>
        <w:numPr>
          <w:ilvl w:val="0"/>
          <w:numId w:val="8"/>
        </w:numPr>
      </w:pPr>
      <w:hyperlink r:id="rId183" w:history="1">
        <w:r w:rsidR="00BC2D61" w:rsidRPr="00813EAE">
          <w:rPr>
            <w:rStyle w:val="Hyperlink"/>
            <w:color w:val="auto"/>
          </w:rPr>
          <w:t>www.census.gov</w:t>
        </w:r>
      </w:hyperlink>
    </w:p>
    <w:p w:rsidR="00BC2D61" w:rsidRPr="00813EAE" w:rsidRDefault="00BC2D61" w:rsidP="00BC2D61"/>
    <w:p w:rsidR="00BC2D61" w:rsidRPr="00813EAE" w:rsidRDefault="00A82B37" w:rsidP="0085409A">
      <w:pPr>
        <w:pStyle w:val="ListParagraph"/>
        <w:numPr>
          <w:ilvl w:val="0"/>
          <w:numId w:val="8"/>
        </w:numPr>
        <w:rPr>
          <w:rStyle w:val="Hyperlink"/>
          <w:color w:val="auto"/>
        </w:rPr>
      </w:pPr>
      <w:hyperlink r:id="rId184" w:history="1">
        <w:r w:rsidR="00BC2D61" w:rsidRPr="00813EAE">
          <w:rPr>
            <w:rStyle w:val="Hyperlink"/>
            <w:color w:val="auto"/>
          </w:rPr>
          <w:t>http://quickfacts.census.gov/qfd</w:t>
        </w:r>
      </w:hyperlink>
    </w:p>
    <w:p w:rsidR="00BC2D61" w:rsidRPr="00813EAE" w:rsidRDefault="00BC2D61" w:rsidP="00BC2D61"/>
    <w:p w:rsidR="00BC2D61" w:rsidRPr="00813EAE" w:rsidRDefault="00A82B37" w:rsidP="0085409A">
      <w:pPr>
        <w:pStyle w:val="ListParagraph"/>
        <w:numPr>
          <w:ilvl w:val="0"/>
          <w:numId w:val="8"/>
        </w:numPr>
      </w:pPr>
      <w:hyperlink r:id="rId185" w:history="1">
        <w:r w:rsidR="00BC2D61" w:rsidRPr="00813EAE">
          <w:rPr>
            <w:rStyle w:val="Hyperlink"/>
            <w:color w:val="auto"/>
          </w:rPr>
          <w:t>https://www.census.gov/quickfacts/fact/table/LA,US/PST045218</w:t>
        </w:r>
      </w:hyperlink>
      <w:r w:rsidR="00BC2D61" w:rsidRPr="00813EAE">
        <w:t xml:space="preserve"> (US Census - Louisiana specific)</w:t>
      </w:r>
    </w:p>
    <w:p w:rsidR="00BC2D61" w:rsidRPr="00813EAE" w:rsidRDefault="00BC2D61" w:rsidP="00BC2D61"/>
    <w:p w:rsidR="00BC2D61" w:rsidRDefault="00A82B37" w:rsidP="0085409A">
      <w:pPr>
        <w:pStyle w:val="ListParagraph"/>
        <w:numPr>
          <w:ilvl w:val="0"/>
          <w:numId w:val="8"/>
        </w:numPr>
      </w:pPr>
      <w:hyperlink r:id="rId186" w:history="1">
        <w:r w:rsidR="00BC2D61" w:rsidRPr="00813EAE">
          <w:rPr>
            <w:rStyle w:val="Hyperlink"/>
            <w:color w:val="auto"/>
          </w:rPr>
          <w:t>https://adata.org/publication/service-animals-booklet</w:t>
        </w:r>
      </w:hyperlink>
      <w:r w:rsidR="00BC2D61" w:rsidRPr="00813EAE">
        <w:t xml:space="preserve"> (Service Animals Booklet)</w:t>
      </w:r>
      <w:r w:rsidR="00BC2D61" w:rsidRPr="00F72FCC">
        <w:t xml:space="preserve"> </w:t>
      </w:r>
    </w:p>
    <w:p w:rsidR="00BC2D61" w:rsidRDefault="00BC2D61" w:rsidP="00BC2D61"/>
    <w:p w:rsidR="00BC2D61" w:rsidRPr="00F72FCC" w:rsidRDefault="00BC2D61" w:rsidP="00BC2D61">
      <w:pPr>
        <w:pStyle w:val="Heading3"/>
      </w:pPr>
      <w:bookmarkStart w:id="150" w:name="_Toc20256126"/>
      <w:r w:rsidRPr="00F72FCC">
        <w:t>Books</w:t>
      </w:r>
      <w:bookmarkEnd w:id="150"/>
    </w:p>
    <w:p w:rsidR="00BC2D61" w:rsidRPr="00F72FCC" w:rsidRDefault="00BC2D61" w:rsidP="00BC2D61"/>
    <w:p w:rsidR="00BC2D61" w:rsidRPr="00F72FCC" w:rsidRDefault="00BC2D61" w:rsidP="0085409A">
      <w:pPr>
        <w:pStyle w:val="ListParagraph"/>
        <w:numPr>
          <w:ilvl w:val="0"/>
          <w:numId w:val="9"/>
        </w:numPr>
      </w:pPr>
      <w:r w:rsidRPr="00F72FCC">
        <w:t>“Kiss, Bow, or Shake Hands” by Terri Morrison and Wayne A. Conaway</w:t>
      </w:r>
    </w:p>
    <w:p w:rsidR="00BC2D61" w:rsidRPr="00F72FCC" w:rsidRDefault="00BC2D61" w:rsidP="00BC2D61"/>
    <w:p w:rsidR="00BC2D61" w:rsidRDefault="00F43F3F" w:rsidP="0085409A">
      <w:pPr>
        <w:pStyle w:val="ListParagraph"/>
        <w:numPr>
          <w:ilvl w:val="0"/>
          <w:numId w:val="9"/>
        </w:numPr>
      </w:pPr>
      <w:r>
        <w:rPr>
          <w:noProof/>
        </w:rPr>
        <w:drawing>
          <wp:anchor distT="0" distB="0" distL="114300" distR="114300" simplePos="0" relativeHeight="251806720" behindDoc="0" locked="0" layoutInCell="1" allowOverlap="1" wp14:anchorId="71037812" wp14:editId="75608F82">
            <wp:simplePos x="0" y="0"/>
            <wp:positionH relativeFrom="column">
              <wp:posOffset>3181350</wp:posOffset>
            </wp:positionH>
            <wp:positionV relativeFrom="paragraph">
              <wp:posOffset>346075</wp:posOffset>
            </wp:positionV>
            <wp:extent cx="3026410" cy="1700530"/>
            <wp:effectExtent l="19050" t="19050" r="21590" b="1397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lide5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026410" cy="1700530"/>
                    </a:xfrm>
                    <a:prstGeom prst="rect">
                      <a:avLst/>
                    </a:prstGeom>
                    <a:ln>
                      <a:solidFill>
                        <a:schemeClr val="tx1"/>
                      </a:solidFill>
                    </a:ln>
                  </pic:spPr>
                </pic:pic>
              </a:graphicData>
            </a:graphic>
          </wp:anchor>
        </w:drawing>
      </w:r>
      <w:r>
        <w:rPr>
          <w:noProof/>
        </w:rPr>
        <w:drawing>
          <wp:anchor distT="0" distB="0" distL="114300" distR="114300" simplePos="0" relativeHeight="251805696" behindDoc="0" locked="0" layoutInCell="1" allowOverlap="1" wp14:anchorId="73C5B656" wp14:editId="5A0DBCCD">
            <wp:simplePos x="0" y="0"/>
            <wp:positionH relativeFrom="column">
              <wp:posOffset>85725</wp:posOffset>
            </wp:positionH>
            <wp:positionV relativeFrom="paragraph">
              <wp:posOffset>346075</wp:posOffset>
            </wp:positionV>
            <wp:extent cx="3026410" cy="1700530"/>
            <wp:effectExtent l="19050" t="19050" r="21590" b="13970"/>
            <wp:wrapTopAndBottom/>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Slide53.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3026410" cy="1700530"/>
                    </a:xfrm>
                    <a:prstGeom prst="rect">
                      <a:avLst/>
                    </a:prstGeom>
                    <a:ln>
                      <a:solidFill>
                        <a:schemeClr val="tx1"/>
                      </a:solidFill>
                    </a:ln>
                  </pic:spPr>
                </pic:pic>
              </a:graphicData>
            </a:graphic>
          </wp:anchor>
        </w:drawing>
      </w:r>
      <w:r w:rsidR="00BC2D61" w:rsidRPr="00F72FCC">
        <w:t xml:space="preserve">“The Color of Law” </w:t>
      </w:r>
    </w:p>
    <w:p w:rsidR="00BC2D61" w:rsidRDefault="00BC2D61" w:rsidP="00BC2D61">
      <w:pPr>
        <w:pStyle w:val="ListParagraph"/>
      </w:pPr>
    </w:p>
    <w:p w:rsidR="00BC2D61" w:rsidRDefault="00BC2D61" w:rsidP="00BC2D61"/>
    <w:p w:rsidR="00BC2D61" w:rsidRPr="00F72FCC" w:rsidRDefault="00BC2D61" w:rsidP="00BC2D61">
      <w:pPr>
        <w:pStyle w:val="Heading3"/>
      </w:pPr>
      <w:bookmarkStart w:id="151" w:name="_Toc20256127"/>
      <w:r w:rsidRPr="00F72FCC">
        <w:lastRenderedPageBreak/>
        <w:t>NAR Certification Course</w:t>
      </w:r>
      <w:bookmarkEnd w:id="151"/>
    </w:p>
    <w:p w:rsidR="00BC2D61" w:rsidRPr="00F72FCC" w:rsidRDefault="00BC2D61" w:rsidP="00BC2D61"/>
    <w:p w:rsidR="00BC2D61" w:rsidRDefault="00BC2D61" w:rsidP="0085409A">
      <w:pPr>
        <w:pStyle w:val="ListParagraph"/>
        <w:numPr>
          <w:ilvl w:val="0"/>
          <w:numId w:val="10"/>
        </w:numPr>
      </w:pPr>
      <w:r w:rsidRPr="00F72FCC">
        <w:t xml:space="preserve">At Home </w:t>
      </w:r>
      <w:proofErr w:type="gramStart"/>
      <w:r>
        <w:t>W</w:t>
      </w:r>
      <w:r w:rsidRPr="00F72FCC">
        <w:t>ith</w:t>
      </w:r>
      <w:proofErr w:type="gramEnd"/>
      <w:r w:rsidRPr="00F72FCC">
        <w:t xml:space="preserve"> Diversity (AHWD) – </w:t>
      </w:r>
      <w:hyperlink r:id="rId188" w:history="1">
        <w:r w:rsidRPr="00813EAE">
          <w:rPr>
            <w:rStyle w:val="Hyperlink"/>
            <w:color w:val="auto"/>
          </w:rPr>
          <w:t>http://www.realtor.org/ahwd</w:t>
        </w:r>
      </w:hyperlink>
      <w:r w:rsidRPr="00813EAE">
        <w:t xml:space="preserve"> </w:t>
      </w:r>
    </w:p>
    <w:p w:rsidR="000E7C07" w:rsidRPr="006033D7" w:rsidRDefault="00BC2D61" w:rsidP="00F43F3F">
      <w:pPr>
        <w:jc w:val="center"/>
      </w:pPr>
      <w:r>
        <w:rPr>
          <w:noProof/>
        </w:rPr>
        <w:drawing>
          <wp:inline distT="0" distB="0" distL="0" distR="0" wp14:anchorId="4DA7C93E" wp14:editId="38E02D7C">
            <wp:extent cx="3335867" cy="187642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de55.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3393861" cy="1909046"/>
                    </a:xfrm>
                    <a:prstGeom prst="rect">
                      <a:avLst/>
                    </a:prstGeom>
                  </pic:spPr>
                </pic:pic>
              </a:graphicData>
            </a:graphic>
          </wp:inline>
        </w:drawing>
      </w:r>
    </w:p>
    <w:p w:rsidR="00BC2D61" w:rsidRPr="00F72FCC" w:rsidRDefault="00BC2D61" w:rsidP="00BC2D61">
      <w:pPr>
        <w:pStyle w:val="Heading3"/>
      </w:pPr>
      <w:bookmarkStart w:id="152" w:name="_Toc20256128"/>
      <w:r w:rsidRPr="00F72FCC">
        <w:t>Videos</w:t>
      </w:r>
      <w:bookmarkEnd w:id="152"/>
      <w:r w:rsidRPr="00F72FCC">
        <w:t xml:space="preserve"> </w:t>
      </w:r>
    </w:p>
    <w:p w:rsidR="00BC2D61" w:rsidRPr="00F72FCC" w:rsidRDefault="00BC2D61" w:rsidP="00BC2D61">
      <w:pPr>
        <w:rPr>
          <w:b/>
          <w:u w:val="single"/>
        </w:rPr>
      </w:pPr>
    </w:p>
    <w:p w:rsidR="00BC2D61" w:rsidRPr="00F72FCC" w:rsidRDefault="00BC2D61" w:rsidP="0085409A">
      <w:pPr>
        <w:pStyle w:val="ListParagraph"/>
        <w:numPr>
          <w:ilvl w:val="0"/>
          <w:numId w:val="10"/>
        </w:numPr>
      </w:pPr>
      <w:r w:rsidRPr="00F72FCC">
        <w:t xml:space="preserve">“What Would You Do Racist Realtor?” – </w:t>
      </w:r>
    </w:p>
    <w:p w:rsidR="00BC2D61" w:rsidRDefault="00A82B37" w:rsidP="00443CDA">
      <w:pPr>
        <w:pStyle w:val="ListParagraph"/>
        <w:ind w:firstLine="720"/>
      </w:pPr>
      <w:hyperlink r:id="rId190" w:history="1">
        <w:r w:rsidR="0087333D" w:rsidRPr="001264D8">
          <w:rPr>
            <w:rStyle w:val="Hyperlink"/>
          </w:rPr>
          <w:t>https://www.youtube.com/watch?v=IRsQRsjj-XE</w:t>
        </w:r>
      </w:hyperlink>
    </w:p>
    <w:p w:rsidR="006033D7" w:rsidRPr="00F72FCC" w:rsidRDefault="006033D7" w:rsidP="00443CDA">
      <w:pPr>
        <w:pStyle w:val="ListParagraph"/>
        <w:ind w:firstLine="720"/>
      </w:pPr>
    </w:p>
    <w:p w:rsidR="00BC2D61" w:rsidRDefault="00BC2D61" w:rsidP="0085409A">
      <w:pPr>
        <w:pStyle w:val="ListParagraph"/>
        <w:numPr>
          <w:ilvl w:val="0"/>
          <w:numId w:val="10"/>
        </w:numPr>
      </w:pPr>
      <w:r w:rsidRPr="00F72FCC">
        <w:t xml:space="preserve">“What Kind of Asian Are You?” – </w:t>
      </w:r>
    </w:p>
    <w:p w:rsidR="00293DA4" w:rsidRDefault="00A82B37" w:rsidP="0017495C">
      <w:pPr>
        <w:ind w:left="1440"/>
      </w:pPr>
      <w:hyperlink r:id="rId191" w:history="1">
        <w:r w:rsidR="0017495C">
          <w:rPr>
            <w:rStyle w:val="Hyperlink"/>
          </w:rPr>
          <w:t>https://www.youtube.com/watch?v=DWynJkN5HbQ</w:t>
        </w:r>
      </w:hyperlink>
    </w:p>
    <w:p w:rsidR="006033D7" w:rsidRPr="00F72FCC" w:rsidRDefault="006033D7" w:rsidP="0017495C">
      <w:pPr>
        <w:ind w:left="1440"/>
      </w:pPr>
    </w:p>
    <w:p w:rsidR="003568B8" w:rsidRDefault="00443CDA" w:rsidP="0085409A">
      <w:pPr>
        <w:pStyle w:val="ListParagraph"/>
        <w:numPr>
          <w:ilvl w:val="0"/>
          <w:numId w:val="10"/>
        </w:numPr>
      </w:pPr>
      <w:r w:rsidRPr="00F72FCC">
        <w:t xml:space="preserve"> </w:t>
      </w:r>
      <w:r w:rsidR="00BC2D61" w:rsidRPr="00F72FCC">
        <w:t xml:space="preserve">“Do You Like Me Now?” – </w:t>
      </w:r>
    </w:p>
    <w:p w:rsidR="00293DA4" w:rsidRDefault="00A82B37" w:rsidP="00B217A4">
      <w:pPr>
        <w:ind w:left="720" w:firstLine="720"/>
      </w:pPr>
      <w:hyperlink r:id="rId192" w:history="1">
        <w:r w:rsidR="003568B8" w:rsidRPr="001264D8">
          <w:rPr>
            <w:rStyle w:val="Hyperlink"/>
          </w:rPr>
          <w:t>https://www.youtube.com/watch?v=Y6pMwl1Xi6E</w:t>
        </w:r>
      </w:hyperlink>
      <w:r w:rsidR="00443CDA">
        <w:rPr>
          <w:rFonts w:eastAsia="Times New Roman"/>
          <w:noProof/>
          <w:sz w:val="22"/>
          <w:szCs w:val="22"/>
        </w:rPr>
        <w:drawing>
          <wp:inline distT="0" distB="0" distL="0" distR="0" wp14:anchorId="3BE6954F" wp14:editId="11B6F33C">
            <wp:extent cx="5283200" cy="29718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de50.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5293998" cy="2977874"/>
                    </a:xfrm>
                    <a:prstGeom prst="rect">
                      <a:avLst/>
                    </a:prstGeom>
                    <a:ln>
                      <a:noFill/>
                    </a:ln>
                  </pic:spPr>
                </pic:pic>
              </a:graphicData>
            </a:graphic>
          </wp:inline>
        </w:drawing>
      </w:r>
    </w:p>
    <w:p w:rsidR="00293DA4" w:rsidRPr="00B217A4" w:rsidRDefault="00293DA4" w:rsidP="00B217A4">
      <w:pPr>
        <w:ind w:left="720" w:firstLine="720"/>
      </w:pPr>
    </w:p>
    <w:p w:rsidR="00BC2D61" w:rsidRPr="00F72FCC" w:rsidRDefault="00BC2D61" w:rsidP="00BC2D61"/>
    <w:p w:rsidR="00BC2D61" w:rsidRPr="00F72FCC" w:rsidRDefault="00BC2D61" w:rsidP="0085409A">
      <w:pPr>
        <w:pStyle w:val="ListParagraph"/>
        <w:numPr>
          <w:ilvl w:val="0"/>
          <w:numId w:val="10"/>
        </w:numPr>
      </w:pPr>
      <w:r w:rsidRPr="00F72FCC">
        <w:t xml:space="preserve">NAR – Assistance Animals in Housing </w:t>
      </w:r>
    </w:p>
    <w:p w:rsidR="00BC2D61" w:rsidRDefault="00A82B37" w:rsidP="00443CDA">
      <w:pPr>
        <w:pStyle w:val="ListParagraph"/>
        <w:ind w:firstLine="720"/>
      </w:pPr>
      <w:hyperlink r:id="rId194" w:history="1">
        <w:r w:rsidR="003568B8" w:rsidRPr="001264D8">
          <w:rPr>
            <w:rStyle w:val="Hyperlink"/>
          </w:rPr>
          <w:t>https://www.nar.realtor/videos/window-to-the-law/assistance-animals-in-housing</w:t>
        </w:r>
      </w:hyperlink>
    </w:p>
    <w:p w:rsidR="006033D7" w:rsidRDefault="006033D7" w:rsidP="00443CDA">
      <w:pPr>
        <w:pStyle w:val="ListParagraph"/>
        <w:ind w:firstLine="720"/>
      </w:pPr>
    </w:p>
    <w:p w:rsidR="006033D7" w:rsidRDefault="006033D7" w:rsidP="00443CDA">
      <w:pPr>
        <w:pStyle w:val="ListParagraph"/>
        <w:ind w:firstLine="720"/>
      </w:pPr>
    </w:p>
    <w:p w:rsidR="00BC2D61" w:rsidRPr="00F72FCC" w:rsidRDefault="00BC2D61" w:rsidP="0085409A">
      <w:pPr>
        <w:pStyle w:val="ListParagraph"/>
        <w:numPr>
          <w:ilvl w:val="0"/>
          <w:numId w:val="10"/>
        </w:numPr>
      </w:pPr>
      <w:r w:rsidRPr="00F72FCC">
        <w:t xml:space="preserve">Accommodations for Service Animals in Housing – </w:t>
      </w:r>
    </w:p>
    <w:p w:rsidR="003568B8" w:rsidRDefault="00A82B37" w:rsidP="00443CDA">
      <w:pPr>
        <w:jc w:val="center"/>
      </w:pPr>
      <w:hyperlink r:id="rId195" w:history="1">
        <w:r w:rsidR="003568B8" w:rsidRPr="001264D8">
          <w:rPr>
            <w:rStyle w:val="Hyperlink"/>
          </w:rPr>
          <w:t>https://www.nar.realtor/window-to-the-law/service-animals-in-the-work</w:t>
        </w:r>
      </w:hyperlink>
    </w:p>
    <w:p w:rsidR="006033D7" w:rsidRDefault="006033D7" w:rsidP="00443CDA">
      <w:pPr>
        <w:jc w:val="center"/>
      </w:pPr>
    </w:p>
    <w:p w:rsidR="003568B8" w:rsidRDefault="003568B8" w:rsidP="0085409A">
      <w:pPr>
        <w:pStyle w:val="ListParagraph"/>
        <w:numPr>
          <w:ilvl w:val="0"/>
          <w:numId w:val="10"/>
        </w:numPr>
      </w:pPr>
      <w:r>
        <w:t>Anti-Semitism &amp; Jewish Discrimination | What Would You Do?</w:t>
      </w:r>
    </w:p>
    <w:p w:rsidR="003568B8" w:rsidRDefault="00A82B37" w:rsidP="00443CDA">
      <w:pPr>
        <w:pStyle w:val="ListParagraph"/>
        <w:ind w:left="1440"/>
      </w:pPr>
      <w:hyperlink r:id="rId196" w:history="1">
        <w:r w:rsidR="003568B8" w:rsidRPr="001264D8">
          <w:rPr>
            <w:rStyle w:val="Hyperlink"/>
          </w:rPr>
          <w:t>https://www.youtube.com/watch?v=BRX31HOikws</w:t>
        </w:r>
      </w:hyperlink>
    </w:p>
    <w:p w:rsidR="006033D7" w:rsidRDefault="006033D7" w:rsidP="00443CDA">
      <w:pPr>
        <w:pStyle w:val="ListParagraph"/>
        <w:ind w:left="1440"/>
      </w:pPr>
    </w:p>
    <w:p w:rsidR="003568B8" w:rsidRPr="003568B8" w:rsidRDefault="003568B8" w:rsidP="0085409A">
      <w:pPr>
        <w:pStyle w:val="ListParagraph"/>
        <w:numPr>
          <w:ilvl w:val="0"/>
          <w:numId w:val="10"/>
        </w:numPr>
      </w:pPr>
      <w:r w:rsidRPr="00FC1096">
        <w:t>Parents Are "Gay Bashed" In Front of Their</w:t>
      </w:r>
      <w:r w:rsidRPr="003568B8">
        <w:t xml:space="preserve"> </w:t>
      </w:r>
      <w:r w:rsidRPr="00FC1096">
        <w:t>Children | What Would You Do?</w:t>
      </w:r>
    </w:p>
    <w:p w:rsidR="00443CDA" w:rsidRDefault="00A82B37" w:rsidP="00443CDA">
      <w:pPr>
        <w:ind w:left="720" w:firstLine="720"/>
      </w:pPr>
      <w:hyperlink r:id="rId197" w:history="1">
        <w:r w:rsidR="003568B8" w:rsidRPr="001264D8">
          <w:rPr>
            <w:rStyle w:val="Hyperlink"/>
          </w:rPr>
          <w:t>https://www.youtube.com/watch?v=Zhl9MLno424</w:t>
        </w:r>
      </w:hyperlink>
    </w:p>
    <w:p w:rsidR="006033D7" w:rsidRPr="00443CDA" w:rsidRDefault="006033D7" w:rsidP="00443CDA">
      <w:pPr>
        <w:ind w:left="720" w:firstLine="720"/>
      </w:pPr>
    </w:p>
    <w:p w:rsidR="003568B8" w:rsidRDefault="003568B8" w:rsidP="0085409A">
      <w:pPr>
        <w:pStyle w:val="ListParagraph"/>
        <w:numPr>
          <w:ilvl w:val="0"/>
          <w:numId w:val="10"/>
        </w:numPr>
        <w:rPr>
          <w:sz w:val="22"/>
          <w:szCs w:val="22"/>
        </w:rPr>
      </w:pPr>
      <w:r>
        <w:t>“Accents” Video </w:t>
      </w:r>
    </w:p>
    <w:p w:rsidR="003568B8" w:rsidRDefault="00A82B37" w:rsidP="003568B8">
      <w:pPr>
        <w:ind w:left="720" w:firstLine="720"/>
      </w:pPr>
      <w:hyperlink r:id="rId198" w:history="1">
        <w:r w:rsidR="003568B8" w:rsidRPr="001264D8">
          <w:rPr>
            <w:rStyle w:val="Hyperlink"/>
          </w:rPr>
          <w:t>https://www.youtube.com/watch?v=84k2iM30vbY</w:t>
        </w:r>
      </w:hyperlink>
    </w:p>
    <w:p w:rsidR="006033D7" w:rsidRDefault="006033D7" w:rsidP="003568B8">
      <w:pPr>
        <w:ind w:left="720" w:firstLine="720"/>
      </w:pPr>
    </w:p>
    <w:p w:rsidR="005E3D37" w:rsidRDefault="009F6E21" w:rsidP="0085409A">
      <w:pPr>
        <w:pStyle w:val="ListParagraph"/>
        <w:numPr>
          <w:ilvl w:val="0"/>
          <w:numId w:val="10"/>
        </w:numPr>
      </w:pPr>
      <w:r>
        <w:t>Fair Housing |Reflections on Fair Housing Act</w:t>
      </w:r>
    </w:p>
    <w:p w:rsidR="009F6E21" w:rsidRDefault="00A82B37" w:rsidP="009F6E21">
      <w:pPr>
        <w:ind w:left="720" w:firstLine="720"/>
      </w:pPr>
      <w:hyperlink r:id="rId199" w:history="1">
        <w:r w:rsidR="009F6E21">
          <w:rPr>
            <w:rStyle w:val="Hyperlink"/>
          </w:rPr>
          <w:t>https://www.youtube.com/watch?v=fUc5yPAOZUg</w:t>
        </w:r>
      </w:hyperlink>
    </w:p>
    <w:p w:rsidR="00293DA4" w:rsidRDefault="00B217A4" w:rsidP="00443CDA">
      <w:pPr>
        <w:ind w:firstLine="720"/>
      </w:pPr>
      <w:r>
        <w:rPr>
          <w:rFonts w:eastAsia="Times New Roman"/>
          <w:noProof/>
        </w:rPr>
        <w:drawing>
          <wp:inline distT="0" distB="0" distL="0" distR="0" wp14:anchorId="6686DCF9" wp14:editId="16992A59">
            <wp:extent cx="5419725" cy="3048596"/>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de49.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441783" cy="3061003"/>
                    </a:xfrm>
                    <a:prstGeom prst="rect">
                      <a:avLst/>
                    </a:prstGeom>
                    <a:ln>
                      <a:noFill/>
                    </a:ln>
                  </pic:spPr>
                </pic:pic>
              </a:graphicData>
            </a:graphic>
          </wp:inline>
        </w:drawing>
      </w:r>
    </w:p>
    <w:p w:rsidR="006033D7" w:rsidRDefault="006033D7">
      <w:pPr>
        <w:spacing w:after="160" w:line="259" w:lineRule="auto"/>
        <w:rPr>
          <w:rFonts w:eastAsiaTheme="majorEastAsia" w:cstheme="minorHAnsi"/>
          <w:b/>
          <w:bCs/>
          <w:sz w:val="30"/>
          <w:szCs w:val="30"/>
        </w:rPr>
      </w:pPr>
      <w:r>
        <w:br w:type="page"/>
      </w:r>
    </w:p>
    <w:p w:rsidR="00BC2D61" w:rsidRDefault="00BC2D61" w:rsidP="00BC2D61">
      <w:pPr>
        <w:pStyle w:val="Heading3"/>
      </w:pPr>
      <w:bookmarkStart w:id="153" w:name="_Toc20256129"/>
      <w:r w:rsidRPr="00813EAE">
        <w:lastRenderedPageBreak/>
        <w:t>Movies that shed light on discrimination</w:t>
      </w:r>
      <w:bookmarkEnd w:id="153"/>
    </w:p>
    <w:p w:rsidR="00BC2D61" w:rsidRDefault="00BC2D61" w:rsidP="00BC2D61"/>
    <w:p w:rsidR="00BC2D61" w:rsidRDefault="00BC2D61" w:rsidP="0085409A">
      <w:pPr>
        <w:pStyle w:val="ListParagraph"/>
        <w:numPr>
          <w:ilvl w:val="0"/>
          <w:numId w:val="12"/>
        </w:numPr>
        <w:sectPr w:rsidR="00BC2D61" w:rsidSect="00F43F3F">
          <w:footerReference w:type="default" r:id="rId201"/>
          <w:pgSz w:w="12240" w:h="15840" w:code="1"/>
          <w:pgMar w:top="1440" w:right="1080" w:bottom="1260" w:left="1080" w:header="720" w:footer="720" w:gutter="0"/>
          <w:cols w:space="720"/>
          <w:titlePg/>
          <w:docGrid w:linePitch="360"/>
        </w:sectPr>
      </w:pPr>
    </w:p>
    <w:p w:rsidR="00BC2D61" w:rsidRPr="008025E9" w:rsidRDefault="00BC2D61" w:rsidP="0085409A">
      <w:pPr>
        <w:pStyle w:val="ListParagraph"/>
        <w:numPr>
          <w:ilvl w:val="0"/>
          <w:numId w:val="12"/>
        </w:numPr>
      </w:pPr>
      <w:r w:rsidRPr="008025E9">
        <w:t>Hidden Figures</w:t>
      </w:r>
    </w:p>
    <w:p w:rsidR="00BC2D61" w:rsidRPr="008025E9" w:rsidRDefault="00BC2D61" w:rsidP="0085409A">
      <w:pPr>
        <w:pStyle w:val="ListParagraph"/>
        <w:numPr>
          <w:ilvl w:val="0"/>
          <w:numId w:val="11"/>
        </w:numPr>
        <w:ind w:left="360"/>
        <w:rPr>
          <w:rFonts w:cstheme="minorHAnsi"/>
        </w:rPr>
      </w:pPr>
      <w:r w:rsidRPr="008025E9">
        <w:rPr>
          <w:rFonts w:cstheme="minorHAnsi"/>
        </w:rPr>
        <w:t>Green Book</w:t>
      </w:r>
    </w:p>
    <w:p w:rsidR="00BC2D61" w:rsidRPr="008025E9" w:rsidRDefault="00BC2D61" w:rsidP="0085409A">
      <w:pPr>
        <w:pStyle w:val="ListParagraph"/>
        <w:numPr>
          <w:ilvl w:val="0"/>
          <w:numId w:val="11"/>
        </w:numPr>
        <w:ind w:left="360"/>
        <w:rPr>
          <w:rFonts w:cstheme="minorHAnsi"/>
        </w:rPr>
      </w:pPr>
      <w:r w:rsidRPr="008025E9">
        <w:rPr>
          <w:rFonts w:cstheme="minorHAnsi"/>
        </w:rPr>
        <w:t>Zootopia</w:t>
      </w:r>
    </w:p>
    <w:p w:rsidR="00BC2D61" w:rsidRPr="008025E9" w:rsidRDefault="00BC2D61" w:rsidP="0085409A">
      <w:pPr>
        <w:pStyle w:val="ListParagraph"/>
        <w:numPr>
          <w:ilvl w:val="0"/>
          <w:numId w:val="11"/>
        </w:numPr>
        <w:ind w:left="360"/>
        <w:rPr>
          <w:rFonts w:cstheme="minorHAnsi"/>
        </w:rPr>
      </w:pPr>
      <w:r w:rsidRPr="008025E9">
        <w:rPr>
          <w:rFonts w:cstheme="minorHAnsi"/>
        </w:rPr>
        <w:t>Fried Green Tomatoes</w:t>
      </w:r>
    </w:p>
    <w:p w:rsidR="00BC2D61" w:rsidRPr="008025E9" w:rsidRDefault="00BC2D61" w:rsidP="0085409A">
      <w:pPr>
        <w:pStyle w:val="ListParagraph"/>
        <w:numPr>
          <w:ilvl w:val="0"/>
          <w:numId w:val="11"/>
        </w:numPr>
        <w:ind w:left="360"/>
        <w:rPr>
          <w:rFonts w:cstheme="minorHAnsi"/>
        </w:rPr>
      </w:pPr>
      <w:r w:rsidRPr="008025E9">
        <w:rPr>
          <w:rFonts w:cstheme="minorHAnsi"/>
        </w:rPr>
        <w:t>The Help</w:t>
      </w:r>
    </w:p>
    <w:p w:rsidR="00BC2D61" w:rsidRPr="008025E9" w:rsidRDefault="00BC2D61" w:rsidP="0085409A">
      <w:pPr>
        <w:pStyle w:val="ListParagraph"/>
        <w:numPr>
          <w:ilvl w:val="0"/>
          <w:numId w:val="11"/>
        </w:numPr>
        <w:ind w:left="360"/>
        <w:rPr>
          <w:rFonts w:cstheme="minorHAnsi"/>
        </w:rPr>
      </w:pPr>
      <w:r w:rsidRPr="008025E9">
        <w:rPr>
          <w:rFonts w:cstheme="minorHAnsi"/>
        </w:rPr>
        <w:t>Dirty Dancing</w:t>
      </w:r>
    </w:p>
    <w:p w:rsidR="00BC2D61" w:rsidRPr="008025E9" w:rsidRDefault="00BC2D61" w:rsidP="0085409A">
      <w:pPr>
        <w:pStyle w:val="ListParagraph"/>
        <w:numPr>
          <w:ilvl w:val="0"/>
          <w:numId w:val="11"/>
        </w:numPr>
        <w:ind w:left="360"/>
        <w:rPr>
          <w:rFonts w:cstheme="minorHAnsi"/>
        </w:rPr>
      </w:pPr>
      <w:r w:rsidRPr="008025E9">
        <w:rPr>
          <w:rFonts w:cstheme="minorHAnsi"/>
        </w:rPr>
        <w:t>Schindler’s List</w:t>
      </w:r>
    </w:p>
    <w:p w:rsidR="00BC2D61" w:rsidRPr="008025E9" w:rsidRDefault="00BC2D61" w:rsidP="0085409A">
      <w:pPr>
        <w:pStyle w:val="ListParagraph"/>
        <w:numPr>
          <w:ilvl w:val="0"/>
          <w:numId w:val="11"/>
        </w:numPr>
        <w:ind w:left="360"/>
        <w:rPr>
          <w:rFonts w:cstheme="minorHAnsi"/>
        </w:rPr>
      </w:pPr>
      <w:r w:rsidRPr="008025E9">
        <w:rPr>
          <w:rFonts w:cstheme="minorHAnsi"/>
        </w:rPr>
        <w:t>Remember the Titans</w:t>
      </w:r>
    </w:p>
    <w:p w:rsidR="00BC2D61" w:rsidRPr="008025E9" w:rsidRDefault="00BC2D61" w:rsidP="0085409A">
      <w:pPr>
        <w:pStyle w:val="ListParagraph"/>
        <w:numPr>
          <w:ilvl w:val="0"/>
          <w:numId w:val="11"/>
        </w:numPr>
        <w:ind w:left="360"/>
        <w:rPr>
          <w:rFonts w:cstheme="minorHAnsi"/>
        </w:rPr>
      </w:pPr>
      <w:r w:rsidRPr="008025E9">
        <w:rPr>
          <w:rFonts w:cstheme="minorHAnsi"/>
        </w:rPr>
        <w:t>Pocahontas</w:t>
      </w:r>
    </w:p>
    <w:p w:rsidR="00BC2D61" w:rsidRPr="008025E9" w:rsidRDefault="00BC2D61" w:rsidP="0085409A">
      <w:pPr>
        <w:pStyle w:val="ListParagraph"/>
        <w:numPr>
          <w:ilvl w:val="0"/>
          <w:numId w:val="11"/>
        </w:numPr>
        <w:ind w:left="360"/>
        <w:rPr>
          <w:rFonts w:cstheme="minorHAnsi"/>
        </w:rPr>
      </w:pPr>
      <w:r w:rsidRPr="008025E9">
        <w:rPr>
          <w:rFonts w:cstheme="minorHAnsi"/>
        </w:rPr>
        <w:t>White Chicks</w:t>
      </w:r>
    </w:p>
    <w:p w:rsidR="00BC2D61" w:rsidRPr="008025E9" w:rsidRDefault="00BC2D61" w:rsidP="0085409A">
      <w:pPr>
        <w:pStyle w:val="ListParagraph"/>
        <w:numPr>
          <w:ilvl w:val="0"/>
          <w:numId w:val="11"/>
        </w:numPr>
        <w:ind w:left="360"/>
        <w:rPr>
          <w:rFonts w:cstheme="minorHAnsi"/>
        </w:rPr>
      </w:pPr>
      <w:r w:rsidRPr="008025E9">
        <w:rPr>
          <w:rFonts w:cstheme="minorHAnsi"/>
        </w:rPr>
        <w:t>Crash</w:t>
      </w:r>
    </w:p>
    <w:p w:rsidR="00BC2D61" w:rsidRPr="008025E9" w:rsidRDefault="00BC2D61" w:rsidP="0085409A">
      <w:pPr>
        <w:pStyle w:val="ListParagraph"/>
        <w:numPr>
          <w:ilvl w:val="0"/>
          <w:numId w:val="11"/>
        </w:numPr>
        <w:ind w:left="360"/>
        <w:rPr>
          <w:rFonts w:cstheme="minorHAnsi"/>
        </w:rPr>
      </w:pPr>
      <w:r w:rsidRPr="008025E9">
        <w:rPr>
          <w:rFonts w:cstheme="minorHAnsi"/>
        </w:rPr>
        <w:t>The Blind Side</w:t>
      </w:r>
    </w:p>
    <w:p w:rsidR="00BC2D61" w:rsidRPr="008025E9" w:rsidRDefault="00BC2D61" w:rsidP="0085409A">
      <w:pPr>
        <w:pStyle w:val="ListParagraph"/>
        <w:numPr>
          <w:ilvl w:val="0"/>
          <w:numId w:val="11"/>
        </w:numPr>
        <w:ind w:left="360"/>
        <w:rPr>
          <w:rFonts w:cstheme="minorHAnsi"/>
        </w:rPr>
      </w:pPr>
      <w:r w:rsidRPr="008025E9">
        <w:rPr>
          <w:rFonts w:cstheme="minorHAnsi"/>
        </w:rPr>
        <w:t xml:space="preserve">Same Kind of Different </w:t>
      </w:r>
      <w:proofErr w:type="gramStart"/>
      <w:r w:rsidRPr="008025E9">
        <w:rPr>
          <w:rFonts w:cstheme="minorHAnsi"/>
        </w:rPr>
        <w:t>As</w:t>
      </w:r>
      <w:proofErr w:type="gramEnd"/>
      <w:r w:rsidRPr="008025E9">
        <w:rPr>
          <w:rFonts w:cstheme="minorHAnsi"/>
        </w:rPr>
        <w:t xml:space="preserve"> Me</w:t>
      </w:r>
    </w:p>
    <w:p w:rsidR="00BC2D61" w:rsidRPr="008025E9" w:rsidRDefault="00BC2D61" w:rsidP="0085409A">
      <w:pPr>
        <w:pStyle w:val="ListParagraph"/>
        <w:numPr>
          <w:ilvl w:val="0"/>
          <w:numId w:val="11"/>
        </w:numPr>
        <w:ind w:left="360"/>
        <w:rPr>
          <w:rFonts w:cstheme="minorHAnsi"/>
        </w:rPr>
      </w:pPr>
      <w:r w:rsidRPr="008025E9">
        <w:rPr>
          <w:rFonts w:cstheme="minorHAnsi"/>
        </w:rPr>
        <w:t>Gran Torino</w:t>
      </w:r>
    </w:p>
    <w:p w:rsidR="00BC2D61" w:rsidRPr="008025E9" w:rsidRDefault="00BC2D61" w:rsidP="0085409A">
      <w:pPr>
        <w:pStyle w:val="ListParagraph"/>
        <w:numPr>
          <w:ilvl w:val="0"/>
          <w:numId w:val="11"/>
        </w:numPr>
        <w:ind w:left="360"/>
        <w:rPr>
          <w:rFonts w:cstheme="minorHAnsi"/>
        </w:rPr>
      </w:pPr>
      <w:r w:rsidRPr="008025E9">
        <w:rPr>
          <w:rFonts w:cstheme="minorHAnsi"/>
        </w:rPr>
        <w:t>Planet of the Apes</w:t>
      </w:r>
    </w:p>
    <w:p w:rsidR="00BC2D61" w:rsidRDefault="00BC2D61" w:rsidP="0085409A">
      <w:pPr>
        <w:pStyle w:val="ListParagraph"/>
        <w:numPr>
          <w:ilvl w:val="0"/>
          <w:numId w:val="11"/>
        </w:numPr>
        <w:ind w:left="360"/>
        <w:rPr>
          <w:rFonts w:cstheme="minorHAnsi"/>
        </w:rPr>
      </w:pPr>
      <w:r w:rsidRPr="008025E9">
        <w:rPr>
          <w:rFonts w:cstheme="minorHAnsi"/>
        </w:rPr>
        <w:t>Blazing Saddles</w:t>
      </w:r>
    </w:p>
    <w:p w:rsidR="00BC2D61" w:rsidRPr="008025E9" w:rsidRDefault="00BC2D61" w:rsidP="0085409A">
      <w:pPr>
        <w:pStyle w:val="ListParagraph"/>
        <w:numPr>
          <w:ilvl w:val="0"/>
          <w:numId w:val="11"/>
        </w:numPr>
        <w:ind w:left="360"/>
        <w:rPr>
          <w:rFonts w:cstheme="minorHAnsi"/>
        </w:rPr>
      </w:pPr>
      <w:r w:rsidRPr="008025E9">
        <w:rPr>
          <w:rFonts w:cstheme="minorHAnsi"/>
        </w:rPr>
        <w:t>The Color Purple</w:t>
      </w:r>
    </w:p>
    <w:p w:rsidR="00BC2D61" w:rsidRPr="008025E9" w:rsidRDefault="00BC2D61" w:rsidP="0085409A">
      <w:pPr>
        <w:pStyle w:val="ListParagraph"/>
        <w:numPr>
          <w:ilvl w:val="0"/>
          <w:numId w:val="11"/>
        </w:numPr>
        <w:ind w:left="360"/>
        <w:rPr>
          <w:rFonts w:cstheme="minorHAnsi"/>
        </w:rPr>
      </w:pPr>
      <w:r w:rsidRPr="008025E9">
        <w:rPr>
          <w:rFonts w:cstheme="minorHAnsi"/>
        </w:rPr>
        <w:t>Gone with the Wind</w:t>
      </w:r>
    </w:p>
    <w:p w:rsidR="00BC2D61" w:rsidRPr="008025E9" w:rsidRDefault="00BC2D61" w:rsidP="0085409A">
      <w:pPr>
        <w:pStyle w:val="ListParagraph"/>
        <w:numPr>
          <w:ilvl w:val="0"/>
          <w:numId w:val="11"/>
        </w:numPr>
        <w:ind w:left="360"/>
        <w:rPr>
          <w:rFonts w:cstheme="minorHAnsi"/>
        </w:rPr>
      </w:pPr>
      <w:r w:rsidRPr="008025E9">
        <w:rPr>
          <w:rFonts w:cstheme="minorHAnsi"/>
        </w:rPr>
        <w:t>The Sound of Music</w:t>
      </w:r>
    </w:p>
    <w:p w:rsidR="00BC2D61" w:rsidRPr="008025E9" w:rsidRDefault="00BC2D61" w:rsidP="0085409A">
      <w:pPr>
        <w:pStyle w:val="ListParagraph"/>
        <w:numPr>
          <w:ilvl w:val="0"/>
          <w:numId w:val="11"/>
        </w:numPr>
        <w:ind w:left="360"/>
        <w:rPr>
          <w:rFonts w:cstheme="minorHAnsi"/>
        </w:rPr>
      </w:pPr>
      <w:r w:rsidRPr="008025E9">
        <w:rPr>
          <w:rFonts w:cstheme="minorHAnsi"/>
        </w:rPr>
        <w:t>Do the Right Thing</w:t>
      </w:r>
    </w:p>
    <w:p w:rsidR="00BC2D61" w:rsidRPr="008025E9" w:rsidRDefault="00BC2D61" w:rsidP="0085409A">
      <w:pPr>
        <w:pStyle w:val="ListParagraph"/>
        <w:numPr>
          <w:ilvl w:val="0"/>
          <w:numId w:val="11"/>
        </w:numPr>
        <w:ind w:left="360"/>
        <w:rPr>
          <w:rFonts w:cstheme="minorHAnsi"/>
        </w:rPr>
      </w:pPr>
      <w:r w:rsidRPr="008025E9">
        <w:rPr>
          <w:rFonts w:cstheme="minorHAnsi"/>
        </w:rPr>
        <w:t>Amistad</w:t>
      </w:r>
    </w:p>
    <w:p w:rsidR="00BC2D61" w:rsidRPr="008025E9" w:rsidRDefault="00BC2D61" w:rsidP="0085409A">
      <w:pPr>
        <w:pStyle w:val="ListParagraph"/>
        <w:numPr>
          <w:ilvl w:val="0"/>
          <w:numId w:val="11"/>
        </w:numPr>
        <w:ind w:left="360"/>
        <w:rPr>
          <w:rFonts w:cstheme="minorHAnsi"/>
        </w:rPr>
      </w:pPr>
      <w:r w:rsidRPr="008025E9">
        <w:rPr>
          <w:rFonts w:cstheme="minorHAnsi"/>
        </w:rPr>
        <w:t>A Time to Kill</w:t>
      </w:r>
    </w:p>
    <w:p w:rsidR="00BC2D61" w:rsidRPr="008025E9" w:rsidRDefault="00BC2D61" w:rsidP="0085409A">
      <w:pPr>
        <w:pStyle w:val="ListParagraph"/>
        <w:numPr>
          <w:ilvl w:val="0"/>
          <w:numId w:val="11"/>
        </w:numPr>
        <w:ind w:left="360"/>
        <w:rPr>
          <w:rFonts w:cstheme="minorHAnsi"/>
        </w:rPr>
      </w:pPr>
      <w:r w:rsidRPr="008025E9">
        <w:rPr>
          <w:rFonts w:cstheme="minorHAnsi"/>
        </w:rPr>
        <w:t>Life is Beautiful</w:t>
      </w:r>
    </w:p>
    <w:p w:rsidR="00BC2D61" w:rsidRPr="008025E9" w:rsidRDefault="00BC2D61" w:rsidP="0085409A">
      <w:pPr>
        <w:pStyle w:val="ListParagraph"/>
        <w:numPr>
          <w:ilvl w:val="0"/>
          <w:numId w:val="11"/>
        </w:numPr>
        <w:ind w:left="360"/>
        <w:rPr>
          <w:rFonts w:cstheme="minorHAnsi"/>
        </w:rPr>
      </w:pPr>
      <w:r w:rsidRPr="008025E9">
        <w:rPr>
          <w:rFonts w:cstheme="minorHAnsi"/>
        </w:rPr>
        <w:t>Men of Honor</w:t>
      </w:r>
    </w:p>
    <w:p w:rsidR="00BC2D61" w:rsidRPr="008025E9" w:rsidRDefault="00BC2D61" w:rsidP="0085409A">
      <w:pPr>
        <w:pStyle w:val="ListParagraph"/>
        <w:numPr>
          <w:ilvl w:val="0"/>
          <w:numId w:val="11"/>
        </w:numPr>
        <w:ind w:left="360"/>
        <w:rPr>
          <w:rFonts w:cstheme="minorHAnsi"/>
        </w:rPr>
      </w:pPr>
      <w:r w:rsidRPr="008025E9">
        <w:rPr>
          <w:rFonts w:cstheme="minorHAnsi"/>
        </w:rPr>
        <w:t>Wizard of Oz</w:t>
      </w:r>
    </w:p>
    <w:p w:rsidR="00BC2D61" w:rsidRPr="008025E9" w:rsidRDefault="00BC2D61" w:rsidP="0085409A">
      <w:pPr>
        <w:pStyle w:val="ListParagraph"/>
        <w:numPr>
          <w:ilvl w:val="0"/>
          <w:numId w:val="11"/>
        </w:numPr>
        <w:ind w:left="360"/>
        <w:rPr>
          <w:rFonts w:cstheme="minorHAnsi"/>
        </w:rPr>
      </w:pPr>
      <w:r w:rsidRPr="008025E9">
        <w:rPr>
          <w:rFonts w:cstheme="minorHAnsi"/>
        </w:rPr>
        <w:t>The Power of One</w:t>
      </w:r>
    </w:p>
    <w:p w:rsidR="00BC2D61" w:rsidRPr="008025E9" w:rsidRDefault="00BC2D61" w:rsidP="0085409A">
      <w:pPr>
        <w:pStyle w:val="ListParagraph"/>
        <w:numPr>
          <w:ilvl w:val="0"/>
          <w:numId w:val="11"/>
        </w:numPr>
        <w:ind w:left="360"/>
        <w:rPr>
          <w:rFonts w:cstheme="minorHAnsi"/>
        </w:rPr>
      </w:pPr>
      <w:r w:rsidRPr="008025E9">
        <w:rPr>
          <w:rFonts w:cstheme="minorHAnsi"/>
        </w:rPr>
        <w:t>Dallas Buyers Club</w:t>
      </w:r>
    </w:p>
    <w:p w:rsidR="00BC2D61" w:rsidRPr="008025E9" w:rsidRDefault="00BC2D61" w:rsidP="0085409A">
      <w:pPr>
        <w:pStyle w:val="ListParagraph"/>
        <w:numPr>
          <w:ilvl w:val="0"/>
          <w:numId w:val="11"/>
        </w:numPr>
        <w:ind w:left="360"/>
        <w:rPr>
          <w:rFonts w:cstheme="minorHAnsi"/>
        </w:rPr>
      </w:pPr>
      <w:r w:rsidRPr="008025E9">
        <w:rPr>
          <w:rFonts w:cstheme="minorHAnsi"/>
        </w:rPr>
        <w:t>Moonlight</w:t>
      </w:r>
    </w:p>
    <w:p w:rsidR="00BC2D61" w:rsidRPr="008025E9" w:rsidRDefault="00BC2D61" w:rsidP="0085409A">
      <w:pPr>
        <w:pStyle w:val="ListParagraph"/>
        <w:numPr>
          <w:ilvl w:val="0"/>
          <w:numId w:val="11"/>
        </w:numPr>
        <w:ind w:left="360"/>
        <w:rPr>
          <w:rFonts w:cstheme="minorHAnsi"/>
        </w:rPr>
      </w:pPr>
      <w:r w:rsidRPr="008025E9">
        <w:rPr>
          <w:rFonts w:cstheme="minorHAnsi"/>
        </w:rPr>
        <w:t>The Adventures of Priscilla, Queen of the Desert</w:t>
      </w:r>
    </w:p>
    <w:p w:rsidR="00BC2D61" w:rsidRPr="008025E9" w:rsidRDefault="00BC2D61" w:rsidP="0085409A">
      <w:pPr>
        <w:pStyle w:val="ListParagraph"/>
        <w:numPr>
          <w:ilvl w:val="0"/>
          <w:numId w:val="11"/>
        </w:numPr>
        <w:ind w:left="360"/>
        <w:rPr>
          <w:rFonts w:cstheme="minorHAnsi"/>
        </w:rPr>
      </w:pPr>
      <w:r w:rsidRPr="008025E9">
        <w:rPr>
          <w:rFonts w:cstheme="minorHAnsi"/>
        </w:rPr>
        <w:t>And the Band Played On</w:t>
      </w:r>
    </w:p>
    <w:p w:rsidR="00BC2D61" w:rsidRPr="008025E9" w:rsidRDefault="00BC2D61" w:rsidP="0085409A">
      <w:pPr>
        <w:pStyle w:val="ListParagraph"/>
        <w:numPr>
          <w:ilvl w:val="0"/>
          <w:numId w:val="11"/>
        </w:numPr>
        <w:ind w:left="360"/>
        <w:rPr>
          <w:rFonts w:cstheme="minorHAnsi"/>
        </w:rPr>
      </w:pPr>
      <w:r w:rsidRPr="008025E9">
        <w:rPr>
          <w:rFonts w:cstheme="minorHAnsi"/>
        </w:rPr>
        <w:t>The Death and Life of Marsha P. Johnson</w:t>
      </w:r>
    </w:p>
    <w:p w:rsidR="00BC2D61" w:rsidRPr="008025E9" w:rsidRDefault="00BC2D61" w:rsidP="0085409A">
      <w:pPr>
        <w:pStyle w:val="ListParagraph"/>
        <w:numPr>
          <w:ilvl w:val="0"/>
          <w:numId w:val="11"/>
        </w:numPr>
        <w:ind w:left="360"/>
        <w:rPr>
          <w:rFonts w:cstheme="minorHAnsi"/>
        </w:rPr>
      </w:pPr>
      <w:r w:rsidRPr="008025E9">
        <w:rPr>
          <w:rFonts w:cstheme="minorHAnsi"/>
        </w:rPr>
        <w:t>Paris Is Burning</w:t>
      </w:r>
    </w:p>
    <w:p w:rsidR="00BC2D61" w:rsidRPr="008025E9" w:rsidRDefault="00BC2D61" w:rsidP="0085409A">
      <w:pPr>
        <w:pStyle w:val="ListParagraph"/>
        <w:numPr>
          <w:ilvl w:val="0"/>
          <w:numId w:val="11"/>
        </w:numPr>
        <w:ind w:left="360"/>
        <w:rPr>
          <w:rFonts w:cstheme="minorHAnsi"/>
        </w:rPr>
      </w:pPr>
      <w:r w:rsidRPr="008025E9">
        <w:rPr>
          <w:rFonts w:cstheme="minorHAnsi"/>
        </w:rPr>
        <w:t>Guess Who's Coming to Dinner</w:t>
      </w:r>
    </w:p>
    <w:p w:rsidR="00BC2D61" w:rsidRPr="008025E9" w:rsidRDefault="00BC2D61" w:rsidP="0085409A">
      <w:pPr>
        <w:pStyle w:val="ListParagraph"/>
        <w:numPr>
          <w:ilvl w:val="0"/>
          <w:numId w:val="11"/>
        </w:numPr>
        <w:ind w:left="360"/>
        <w:rPr>
          <w:rFonts w:cstheme="minorHAnsi"/>
        </w:rPr>
      </w:pPr>
      <w:r w:rsidRPr="008025E9">
        <w:rPr>
          <w:rFonts w:cstheme="minorHAnsi"/>
        </w:rPr>
        <w:t>Stand and Deliver</w:t>
      </w:r>
    </w:p>
    <w:p w:rsidR="00BC2D61" w:rsidRPr="008025E9" w:rsidRDefault="00BC2D61" w:rsidP="0085409A">
      <w:pPr>
        <w:pStyle w:val="ListParagraph"/>
        <w:numPr>
          <w:ilvl w:val="0"/>
          <w:numId w:val="11"/>
        </w:numPr>
        <w:ind w:left="360"/>
        <w:rPr>
          <w:rFonts w:cstheme="minorHAnsi"/>
        </w:rPr>
      </w:pPr>
      <w:r w:rsidRPr="008025E9">
        <w:rPr>
          <w:rFonts w:cstheme="minorHAnsi"/>
        </w:rPr>
        <w:t>Driving Miss Daisy</w:t>
      </w:r>
    </w:p>
    <w:p w:rsidR="00BC2D61" w:rsidRPr="008025E9" w:rsidRDefault="00BC2D61" w:rsidP="0085409A">
      <w:pPr>
        <w:pStyle w:val="ListParagraph"/>
        <w:numPr>
          <w:ilvl w:val="0"/>
          <w:numId w:val="11"/>
        </w:numPr>
        <w:ind w:left="360"/>
        <w:rPr>
          <w:rFonts w:cstheme="minorHAnsi"/>
        </w:rPr>
      </w:pPr>
      <w:r w:rsidRPr="008025E9">
        <w:rPr>
          <w:rFonts w:cstheme="minorHAnsi"/>
        </w:rPr>
        <w:t>Best of Enemies</w:t>
      </w:r>
    </w:p>
    <w:p w:rsidR="00BC2D61" w:rsidRPr="008025E9" w:rsidRDefault="00BC2D61" w:rsidP="0085409A">
      <w:pPr>
        <w:pStyle w:val="ListParagraph"/>
        <w:numPr>
          <w:ilvl w:val="0"/>
          <w:numId w:val="11"/>
        </w:numPr>
        <w:ind w:left="360"/>
        <w:rPr>
          <w:rFonts w:cstheme="minorHAnsi"/>
        </w:rPr>
      </w:pPr>
      <w:r w:rsidRPr="008025E9">
        <w:rPr>
          <w:rFonts w:cstheme="minorHAnsi"/>
        </w:rPr>
        <w:t>Where the Crawdads Sing (coming soon)</w:t>
      </w:r>
    </w:p>
    <w:p w:rsidR="00BC2D61" w:rsidRPr="008025E9" w:rsidRDefault="00BC2D61" w:rsidP="0085409A">
      <w:pPr>
        <w:pStyle w:val="ListParagraph"/>
        <w:numPr>
          <w:ilvl w:val="0"/>
          <w:numId w:val="11"/>
        </w:numPr>
        <w:ind w:left="360"/>
        <w:rPr>
          <w:rFonts w:cstheme="minorHAnsi"/>
        </w:rPr>
      </w:pPr>
      <w:r w:rsidRPr="008025E9">
        <w:rPr>
          <w:rFonts w:cstheme="minorHAnsi"/>
        </w:rPr>
        <w:t>Guess Who's Coming to Dinner</w:t>
      </w:r>
    </w:p>
    <w:p w:rsidR="00BC2D61" w:rsidRPr="008025E9" w:rsidRDefault="00BC2D61" w:rsidP="0085409A">
      <w:pPr>
        <w:pStyle w:val="ListParagraph"/>
        <w:numPr>
          <w:ilvl w:val="0"/>
          <w:numId w:val="11"/>
        </w:numPr>
        <w:ind w:left="360"/>
        <w:rPr>
          <w:rFonts w:cstheme="minorHAnsi"/>
        </w:rPr>
      </w:pPr>
      <w:r w:rsidRPr="008025E9">
        <w:rPr>
          <w:rFonts w:cstheme="minorHAnsi"/>
        </w:rPr>
        <w:t>Black Panther</w:t>
      </w:r>
    </w:p>
    <w:p w:rsidR="00BC2D61" w:rsidRPr="008025E9" w:rsidRDefault="00BC2D61" w:rsidP="0085409A">
      <w:pPr>
        <w:pStyle w:val="ListParagraph"/>
        <w:numPr>
          <w:ilvl w:val="0"/>
          <w:numId w:val="11"/>
        </w:numPr>
        <w:ind w:left="360"/>
        <w:rPr>
          <w:rFonts w:cstheme="minorHAnsi"/>
        </w:rPr>
      </w:pPr>
      <w:r w:rsidRPr="008025E9">
        <w:rPr>
          <w:rFonts w:cstheme="minorHAnsi"/>
        </w:rPr>
        <w:t>X-Men films</w:t>
      </w:r>
    </w:p>
    <w:p w:rsidR="00BC2D61" w:rsidRPr="008025E9" w:rsidRDefault="00BC2D61" w:rsidP="0085409A">
      <w:pPr>
        <w:pStyle w:val="ListParagraph"/>
        <w:numPr>
          <w:ilvl w:val="0"/>
          <w:numId w:val="11"/>
        </w:numPr>
        <w:ind w:left="360"/>
        <w:rPr>
          <w:rFonts w:cstheme="minorHAnsi"/>
        </w:rPr>
      </w:pPr>
      <w:r w:rsidRPr="008025E9">
        <w:rPr>
          <w:rFonts w:cstheme="minorHAnsi"/>
        </w:rPr>
        <w:t>Glory Road</w:t>
      </w:r>
    </w:p>
    <w:p w:rsidR="00BC2D61" w:rsidRPr="008025E9" w:rsidRDefault="00BC2D61" w:rsidP="0085409A">
      <w:pPr>
        <w:pStyle w:val="ListParagraph"/>
        <w:numPr>
          <w:ilvl w:val="0"/>
          <w:numId w:val="11"/>
        </w:numPr>
        <w:ind w:left="360"/>
        <w:rPr>
          <w:rFonts w:cstheme="minorHAnsi"/>
        </w:rPr>
      </w:pPr>
      <w:r w:rsidRPr="008025E9">
        <w:rPr>
          <w:rFonts w:cstheme="minorHAnsi"/>
        </w:rPr>
        <w:t>Legally Blond</w:t>
      </w:r>
    </w:p>
    <w:p w:rsidR="00BC2D61" w:rsidRPr="008025E9" w:rsidRDefault="00BC2D61" w:rsidP="0085409A">
      <w:pPr>
        <w:pStyle w:val="ListParagraph"/>
        <w:numPr>
          <w:ilvl w:val="0"/>
          <w:numId w:val="11"/>
        </w:numPr>
        <w:ind w:left="360"/>
        <w:rPr>
          <w:rFonts w:cstheme="minorHAnsi"/>
        </w:rPr>
      </w:pPr>
      <w:r w:rsidRPr="008025E9">
        <w:rPr>
          <w:rFonts w:cstheme="minorHAnsi"/>
        </w:rPr>
        <w:t>Black Klansman</w:t>
      </w:r>
    </w:p>
    <w:p w:rsidR="00BC2D61" w:rsidRPr="008025E9" w:rsidRDefault="00BC2D61" w:rsidP="0085409A">
      <w:pPr>
        <w:pStyle w:val="ListParagraph"/>
        <w:numPr>
          <w:ilvl w:val="0"/>
          <w:numId w:val="11"/>
        </w:numPr>
        <w:ind w:left="360"/>
        <w:rPr>
          <w:rFonts w:cstheme="minorHAnsi"/>
        </w:rPr>
      </w:pPr>
      <w:r w:rsidRPr="008025E9">
        <w:rPr>
          <w:rFonts w:cstheme="minorHAnsi"/>
        </w:rPr>
        <w:t>Showboat</w:t>
      </w:r>
    </w:p>
    <w:p w:rsidR="00BC2D61" w:rsidRPr="008025E9" w:rsidRDefault="00BC2D61" w:rsidP="0085409A">
      <w:pPr>
        <w:pStyle w:val="ListParagraph"/>
        <w:numPr>
          <w:ilvl w:val="0"/>
          <w:numId w:val="11"/>
        </w:numPr>
        <w:ind w:left="360"/>
        <w:rPr>
          <w:rFonts w:cstheme="minorHAnsi"/>
        </w:rPr>
      </w:pPr>
      <w:r w:rsidRPr="008025E9">
        <w:rPr>
          <w:rFonts w:cstheme="minorHAnsi"/>
        </w:rPr>
        <w:t>Song of the South</w:t>
      </w:r>
    </w:p>
    <w:p w:rsidR="00BC2D61" w:rsidRPr="008025E9" w:rsidRDefault="00BC2D61" w:rsidP="0085409A">
      <w:pPr>
        <w:pStyle w:val="ListParagraph"/>
        <w:numPr>
          <w:ilvl w:val="0"/>
          <w:numId w:val="11"/>
        </w:numPr>
        <w:ind w:left="360"/>
        <w:rPr>
          <w:rFonts w:cstheme="minorHAnsi"/>
        </w:rPr>
      </w:pPr>
      <w:r w:rsidRPr="008025E9">
        <w:rPr>
          <w:rFonts w:cstheme="minorHAnsi"/>
        </w:rPr>
        <w:t>The Intern</w:t>
      </w:r>
    </w:p>
    <w:p w:rsidR="00BC2D61" w:rsidRPr="008025E9" w:rsidRDefault="00BC2D61" w:rsidP="0085409A">
      <w:pPr>
        <w:pStyle w:val="ListParagraph"/>
        <w:numPr>
          <w:ilvl w:val="0"/>
          <w:numId w:val="11"/>
        </w:numPr>
        <w:ind w:left="360"/>
        <w:rPr>
          <w:rFonts w:cstheme="minorHAnsi"/>
        </w:rPr>
      </w:pPr>
      <w:r w:rsidRPr="008025E9">
        <w:rPr>
          <w:rFonts w:cstheme="minorHAnsi"/>
        </w:rPr>
        <w:t>Hotel Rwanda</w:t>
      </w:r>
    </w:p>
    <w:p w:rsidR="00BC2D61" w:rsidRPr="008025E9" w:rsidRDefault="00BC2D61" w:rsidP="0085409A">
      <w:pPr>
        <w:pStyle w:val="ListParagraph"/>
        <w:numPr>
          <w:ilvl w:val="0"/>
          <w:numId w:val="11"/>
        </w:numPr>
        <w:ind w:left="360"/>
        <w:rPr>
          <w:rFonts w:cstheme="minorHAnsi"/>
        </w:rPr>
      </w:pPr>
      <w:r w:rsidRPr="008025E9">
        <w:rPr>
          <w:rFonts w:cstheme="minorHAnsi"/>
        </w:rPr>
        <w:t>Crazy Rich Asians</w:t>
      </w:r>
    </w:p>
    <w:p w:rsidR="00BC2D61" w:rsidRPr="008025E9" w:rsidRDefault="00BC2D61" w:rsidP="0085409A">
      <w:pPr>
        <w:pStyle w:val="ListParagraph"/>
        <w:numPr>
          <w:ilvl w:val="0"/>
          <w:numId w:val="11"/>
        </w:numPr>
        <w:ind w:left="360"/>
        <w:rPr>
          <w:rFonts w:cstheme="minorHAnsi"/>
        </w:rPr>
      </w:pPr>
      <w:r w:rsidRPr="008025E9">
        <w:rPr>
          <w:rFonts w:cstheme="minorHAnsi"/>
        </w:rPr>
        <w:t>Unbroken</w:t>
      </w:r>
    </w:p>
    <w:p w:rsidR="00BC2D61" w:rsidRDefault="00BC2D61" w:rsidP="00BC2D61">
      <w:pPr>
        <w:pStyle w:val="ListParagraph"/>
        <w:ind w:left="360"/>
        <w:rPr>
          <w:rFonts w:cstheme="minorHAnsi"/>
        </w:rPr>
        <w:sectPr w:rsidR="00BC2D61" w:rsidSect="004431F5">
          <w:type w:val="continuous"/>
          <w:pgSz w:w="12240" w:h="15840" w:code="1"/>
          <w:pgMar w:top="1440" w:right="1080" w:bottom="1440" w:left="1080" w:header="720" w:footer="720" w:gutter="0"/>
          <w:cols w:num="2" w:space="720"/>
          <w:titlePg/>
          <w:docGrid w:linePitch="360"/>
        </w:sectPr>
      </w:pPr>
    </w:p>
    <w:p w:rsidR="006033D7" w:rsidRDefault="006033D7">
      <w:pPr>
        <w:spacing w:after="160" w:line="259" w:lineRule="auto"/>
        <w:rPr>
          <w:rFonts w:eastAsiaTheme="majorEastAsia" w:cstheme="minorHAnsi"/>
          <w:b/>
          <w:bCs/>
          <w:sz w:val="30"/>
          <w:szCs w:val="30"/>
        </w:rPr>
      </w:pPr>
      <w:r>
        <w:br w:type="page"/>
      </w:r>
    </w:p>
    <w:p w:rsidR="00BC2D61" w:rsidRDefault="00BC2D61" w:rsidP="00BC2D61">
      <w:pPr>
        <w:pStyle w:val="Heading3"/>
      </w:pPr>
      <w:bookmarkStart w:id="154" w:name="_Toc20256130"/>
      <w:r>
        <w:lastRenderedPageBreak/>
        <w:t>US Census—Louisiana</w:t>
      </w:r>
      <w:bookmarkEnd w:id="154"/>
    </w:p>
    <w:p w:rsidR="00BC2D61" w:rsidRPr="00BC2D61" w:rsidRDefault="00BC2D61" w:rsidP="00BC2D61"/>
    <w:tbl>
      <w:tblP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5" w:type="dxa"/>
          <w:left w:w="15" w:type="dxa"/>
          <w:bottom w:w="15" w:type="dxa"/>
          <w:right w:w="15" w:type="dxa"/>
        </w:tblCellMar>
        <w:tblLook w:val="04A0" w:firstRow="1" w:lastRow="0" w:firstColumn="1" w:lastColumn="0" w:noHBand="0" w:noVBand="1"/>
      </w:tblPr>
      <w:tblGrid>
        <w:gridCol w:w="5488"/>
        <w:gridCol w:w="3256"/>
        <w:gridCol w:w="1290"/>
      </w:tblGrid>
      <w:tr w:rsidR="00BC2D61" w:rsidRPr="00813EAE" w:rsidTr="00AB2C1B">
        <w:trPr>
          <w:trHeight w:val="240"/>
        </w:trPr>
        <w:tc>
          <w:tcPr>
            <w:tcW w:w="1454" w:type="pct"/>
            <w:shd w:val="clear" w:color="auto" w:fill="FFFFFF" w:themeFill="background1"/>
            <w:tcMar>
              <w:top w:w="75" w:type="dxa"/>
              <w:left w:w="75" w:type="dxa"/>
              <w:bottom w:w="75" w:type="dxa"/>
              <w:right w:w="75" w:type="dxa"/>
            </w:tcMar>
            <w:vAlign w:val="center"/>
            <w:hideMark/>
          </w:tcPr>
          <w:p w:rsidR="00BC2D61" w:rsidRPr="00813EAE" w:rsidRDefault="00BC2D61" w:rsidP="00AB2C1B">
            <w:r w:rsidRPr="00813EAE">
              <w:t>All Topics Population Age and Sex Race and Hispanic Origin Population Characteristics Housing Families &amp; Living Arrangements Computer and Internet Use Education Health Economy Transportation Income &amp; Poverty Businesses Geography</w:t>
            </w:r>
          </w:p>
        </w:tc>
        <w:tc>
          <w:tcPr>
            <w:tcW w:w="2507" w:type="pct"/>
            <w:shd w:val="clear" w:color="auto" w:fill="FFFFFF" w:themeFill="background1"/>
            <w:tcMar>
              <w:top w:w="0" w:type="dxa"/>
              <w:left w:w="0" w:type="dxa"/>
              <w:bottom w:w="0" w:type="dxa"/>
              <w:right w:w="75" w:type="dxa"/>
            </w:tcMar>
            <w:vAlign w:val="center"/>
            <w:hideMark/>
          </w:tcPr>
          <w:p w:rsidR="00BC2D61" w:rsidRPr="00813EAE" w:rsidRDefault="00BC2D61" w:rsidP="00AB2C1B">
            <w:r w:rsidRPr="00813EAE">
              <w:t>Louisiana</w:t>
            </w:r>
          </w:p>
        </w:tc>
        <w:tc>
          <w:tcPr>
            <w:tcW w:w="1038" w:type="pct"/>
            <w:shd w:val="clear" w:color="auto" w:fill="FFFFFF" w:themeFill="background1"/>
            <w:tcMar>
              <w:top w:w="0" w:type="dxa"/>
              <w:left w:w="0" w:type="dxa"/>
              <w:bottom w:w="0" w:type="dxa"/>
              <w:right w:w="75" w:type="dxa"/>
            </w:tcMar>
            <w:vAlign w:val="center"/>
            <w:hideMark/>
          </w:tcPr>
          <w:p w:rsidR="00BC2D61" w:rsidRPr="00813EAE" w:rsidRDefault="00BC2D61" w:rsidP="00AB2C1B">
            <w:r w:rsidRPr="00813EAE">
              <w:t>United States</w:t>
            </w:r>
          </w:p>
        </w:tc>
      </w:tr>
      <w:tr w:rsidR="00BC2D61" w:rsidRPr="00813EAE" w:rsidTr="00AB2C1B">
        <w:tc>
          <w:tcPr>
            <w:tcW w:w="1454" w:type="pct"/>
            <w:shd w:val="clear" w:color="auto" w:fill="B4C6E7" w:themeFill="accent1" w:themeFillTint="66"/>
            <w:tcMar>
              <w:top w:w="60" w:type="dxa"/>
              <w:left w:w="45" w:type="dxa"/>
              <w:bottom w:w="60" w:type="dxa"/>
              <w:right w:w="45" w:type="dxa"/>
            </w:tcMar>
            <w:vAlign w:val="center"/>
            <w:hideMark/>
          </w:tcPr>
          <w:p w:rsidR="00BC2D61" w:rsidRPr="00813EAE" w:rsidRDefault="00BC2D61" w:rsidP="00AB2C1B">
            <w:r w:rsidRPr="00813EAE">
              <w:t>Population estimates, July 1, 2018, (V2018)</w:t>
            </w:r>
          </w:p>
        </w:tc>
        <w:tc>
          <w:tcPr>
            <w:tcW w:w="2507" w:type="pct"/>
            <w:shd w:val="clear" w:color="auto" w:fill="B4C6E7" w:themeFill="accent1" w:themeFillTint="66"/>
            <w:tcMar>
              <w:top w:w="0" w:type="dxa"/>
              <w:left w:w="0" w:type="dxa"/>
              <w:bottom w:w="0" w:type="dxa"/>
              <w:right w:w="75" w:type="dxa"/>
            </w:tcMar>
            <w:vAlign w:val="center"/>
            <w:hideMark/>
          </w:tcPr>
          <w:p w:rsidR="00BC2D61" w:rsidRPr="00813EAE" w:rsidRDefault="00BC2D61" w:rsidP="00AB2C1B">
            <w:r w:rsidRPr="00813EAE">
              <w:t>4,659,978</w:t>
            </w:r>
          </w:p>
        </w:tc>
        <w:tc>
          <w:tcPr>
            <w:tcW w:w="1038" w:type="pct"/>
            <w:shd w:val="clear" w:color="auto" w:fill="B4C6E7" w:themeFill="accent1" w:themeFillTint="66"/>
            <w:tcMar>
              <w:top w:w="0" w:type="dxa"/>
              <w:left w:w="0" w:type="dxa"/>
              <w:bottom w:w="0" w:type="dxa"/>
              <w:right w:w="75" w:type="dxa"/>
            </w:tcMar>
            <w:vAlign w:val="center"/>
            <w:hideMark/>
          </w:tcPr>
          <w:p w:rsidR="00BC2D61" w:rsidRPr="00813EAE" w:rsidRDefault="00BC2D61" w:rsidP="00AB2C1B">
            <w:r w:rsidRPr="00813EAE">
              <w:t>327,167,434</w:t>
            </w:r>
          </w:p>
        </w:tc>
      </w:tr>
    </w:tbl>
    <w:p w:rsidR="00BC2D61" w:rsidRPr="00BC2D61" w:rsidRDefault="00BC2D61" w:rsidP="00BC2D61"/>
    <w:tbl>
      <w:tblPr>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CellMar>
          <w:top w:w="15" w:type="dxa"/>
          <w:left w:w="15" w:type="dxa"/>
          <w:bottom w:w="15" w:type="dxa"/>
          <w:right w:w="15" w:type="dxa"/>
        </w:tblCellMar>
        <w:tblLook w:val="04A0" w:firstRow="1" w:lastRow="0" w:firstColumn="1" w:lastColumn="0" w:noHBand="0" w:noVBand="1"/>
      </w:tblPr>
      <w:tblGrid>
        <w:gridCol w:w="3225"/>
        <w:gridCol w:w="4337"/>
        <w:gridCol w:w="2472"/>
      </w:tblGrid>
      <w:tr w:rsidR="00BC2D61" w:rsidRPr="00813EAE" w:rsidTr="00AB2C1B">
        <w:tc>
          <w:tcPr>
            <w:tcW w:w="0" w:type="auto"/>
            <w:gridSpan w:val="3"/>
            <w:shd w:val="clear" w:color="auto" w:fill="D9E2F3" w:themeFill="accent1" w:themeFillTint="33"/>
            <w:tcMar>
              <w:top w:w="75" w:type="dxa"/>
              <w:left w:w="75" w:type="dxa"/>
              <w:bottom w:w="75" w:type="dxa"/>
              <w:right w:w="75" w:type="dxa"/>
            </w:tcMar>
            <w:vAlign w:val="center"/>
            <w:hideMark/>
          </w:tcPr>
          <w:p w:rsidR="00BC2D61" w:rsidRPr="00813EAE" w:rsidRDefault="00BC2D61" w:rsidP="00AB2C1B">
            <w:r w:rsidRPr="00813EAE">
              <w:t>PEOPLE</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b/>
                <w:bCs/>
                <w:sz w:val="22"/>
                <w:szCs w:val="22"/>
              </w:rPr>
            </w:pPr>
            <w:r w:rsidRPr="00813EAE">
              <w:rPr>
                <w:b/>
                <w:bCs/>
                <w:sz w:val="22"/>
                <w:szCs w:val="22"/>
              </w:rPr>
              <w:t>Population</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Population estimates, July 1, 2018, (V2018)</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4,659,978</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327,167,434</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Population estimates base, April 1, 2010, (V2018)</w:t>
            </w:r>
          </w:p>
        </w:tc>
        <w:tc>
          <w:tcPr>
            <w:tcW w:w="9187"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4,533,485</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308,758,105</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Population, percent change - April 1, 2010 (estimates base) to July 1, 2018, (V2018)</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2.8%</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6.0%</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Population, Census, April 1, 2010</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4,533,372</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308,745,538</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b/>
                <w:bCs/>
                <w:sz w:val="22"/>
                <w:szCs w:val="22"/>
              </w:rPr>
            </w:pPr>
            <w:r w:rsidRPr="00813EAE">
              <w:rPr>
                <w:b/>
                <w:bCs/>
                <w:sz w:val="22"/>
                <w:szCs w:val="22"/>
              </w:rPr>
              <w:t>Age and Sex</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rPr>
          <w:trHeight w:val="318"/>
        </w:trPr>
        <w:tc>
          <w:tcPr>
            <w:tcW w:w="0" w:type="auto"/>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Persons under 5 years, percent</w:t>
            </w:r>
          </w:p>
        </w:tc>
        <w:tc>
          <w:tcPr>
            <w:tcW w:w="0" w:type="auto"/>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6.6%</w:t>
            </w:r>
          </w:p>
        </w:tc>
        <w:tc>
          <w:tcPr>
            <w:tcW w:w="0" w:type="auto"/>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6.1%</w:t>
            </w:r>
          </w:p>
        </w:tc>
      </w:tr>
      <w:tr w:rsidR="00BC2D61" w:rsidRPr="00813EAE" w:rsidTr="00AB2C1B">
        <w:tc>
          <w:tcPr>
            <w:tcW w:w="0" w:type="auto"/>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Persons under 18 years, percent</w:t>
            </w:r>
          </w:p>
        </w:tc>
        <w:tc>
          <w:tcPr>
            <w:tcW w:w="0" w:type="auto"/>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23.5%</w:t>
            </w:r>
          </w:p>
        </w:tc>
        <w:tc>
          <w:tcPr>
            <w:tcW w:w="0" w:type="auto"/>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22.4%</w:t>
            </w:r>
          </w:p>
        </w:tc>
      </w:tr>
      <w:tr w:rsidR="00BC2D61" w:rsidRPr="00813EAE" w:rsidTr="00AB2C1B">
        <w:trPr>
          <w:trHeight w:val="435"/>
        </w:trPr>
        <w:tc>
          <w:tcPr>
            <w:tcW w:w="0" w:type="auto"/>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Persons 65 years and over, percent</w:t>
            </w:r>
          </w:p>
        </w:tc>
        <w:tc>
          <w:tcPr>
            <w:tcW w:w="0" w:type="auto"/>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15.4%</w:t>
            </w:r>
          </w:p>
        </w:tc>
        <w:tc>
          <w:tcPr>
            <w:tcW w:w="0" w:type="auto"/>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16.0%</w:t>
            </w:r>
          </w:p>
        </w:tc>
      </w:tr>
      <w:tr w:rsidR="00BC2D61" w:rsidRPr="00813EAE" w:rsidTr="00AB2C1B">
        <w:tc>
          <w:tcPr>
            <w:tcW w:w="0" w:type="auto"/>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Female persons, percent</w:t>
            </w:r>
          </w:p>
        </w:tc>
        <w:tc>
          <w:tcPr>
            <w:tcW w:w="0" w:type="auto"/>
            <w:tcBorders>
              <w:bottom w:val="single" w:sz="18" w:space="0" w:color="000000" w:themeColor="text1"/>
            </w:tcBorders>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51.2%</w:t>
            </w:r>
          </w:p>
        </w:tc>
        <w:tc>
          <w:tcPr>
            <w:tcW w:w="0" w:type="auto"/>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50.8%</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b/>
                <w:bCs/>
                <w:sz w:val="22"/>
                <w:szCs w:val="22"/>
              </w:rPr>
            </w:pPr>
            <w:r w:rsidRPr="00813EAE">
              <w:rPr>
                <w:b/>
                <w:bCs/>
                <w:sz w:val="22"/>
                <w:szCs w:val="22"/>
              </w:rPr>
              <w:t>Race and Hispanic Origin</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White alone, percent</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62.9%</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76.5%</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Black or African American alone, percent</w:t>
            </w:r>
          </w:p>
        </w:tc>
        <w:tc>
          <w:tcPr>
            <w:tcW w:w="9187"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32.7%</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13.4%</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American Indian and Alaska Native alone, percent</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0.8%</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1.3%</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lastRenderedPageBreak/>
              <w:t>Asian alone, percent</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1.8%</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5.9%</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Native Hawaiian and Other Pacific Islander alone, percent</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0.1%</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0.2%</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Two or More Races, percent</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1.7%</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2.7%</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Hispanic or Latino, percent</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5.2%</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18.3%</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White alone, not Hispanic or Latino, percent</w:t>
            </w:r>
          </w:p>
        </w:tc>
        <w:tc>
          <w:tcPr>
            <w:tcW w:w="9187" w:type="dxa"/>
            <w:tcBorders>
              <w:bottom w:val="single" w:sz="18" w:space="0" w:color="000000" w:themeColor="text1"/>
            </w:tcBorders>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58.6%</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60.4%</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b/>
                <w:bCs/>
                <w:sz w:val="22"/>
                <w:szCs w:val="22"/>
              </w:rPr>
            </w:pPr>
            <w:r w:rsidRPr="00813EAE">
              <w:rPr>
                <w:b/>
                <w:bCs/>
                <w:sz w:val="22"/>
                <w:szCs w:val="22"/>
              </w:rPr>
              <w:t>Population Characteristics</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Veterans, 2013-2017</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254,920</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18,939,219</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Foreign born persons, percent, 2013-2017</w:t>
            </w:r>
          </w:p>
        </w:tc>
        <w:tc>
          <w:tcPr>
            <w:tcW w:w="9187" w:type="dxa"/>
            <w:tcBorders>
              <w:bottom w:val="single" w:sz="18" w:space="0" w:color="000000" w:themeColor="text1"/>
            </w:tcBorders>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4.2%</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13.4%</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b/>
                <w:bCs/>
                <w:sz w:val="22"/>
                <w:szCs w:val="22"/>
              </w:rPr>
            </w:pPr>
            <w:r w:rsidRPr="00813EAE">
              <w:rPr>
                <w:b/>
                <w:bCs/>
                <w:sz w:val="22"/>
                <w:szCs w:val="22"/>
              </w:rPr>
              <w:t>Housing</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Housing units, July 1, 2018, (V2018)</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2,076,028</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138,537,078</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Owner-occupied housing unit rate, 2013-2017</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65.5%</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63.8%</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Median value of owner-occupied housing units, 2013-2017</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$152,900</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$193,500</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Median selected monthly owner costs -with a mortgage, 2013-2017</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$1,234</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$1,515</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Median selected monthly owner costs -without a mortgage, 2013-2017</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$326</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$474</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Median gross rent, 2013-2017</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$825</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$982</w:t>
            </w:r>
          </w:p>
        </w:tc>
      </w:tr>
      <w:tr w:rsidR="00BC2D61" w:rsidRPr="00813EAE" w:rsidTr="00AB2C1B">
        <w:tc>
          <w:tcPr>
            <w:tcW w:w="5490" w:type="dxa"/>
            <w:shd w:val="clear" w:color="auto" w:fill="FFFFFF" w:themeFill="background1"/>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Building permits, 2018</w:t>
            </w:r>
          </w:p>
        </w:tc>
        <w:tc>
          <w:tcPr>
            <w:tcW w:w="9187"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15,835</w:t>
            </w:r>
          </w:p>
        </w:tc>
        <w:tc>
          <w:tcPr>
            <w:tcW w:w="4193" w:type="dxa"/>
            <w:shd w:val="clear" w:color="auto" w:fill="FFFFFF" w:themeFill="background1"/>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1,328,827</w:t>
            </w:r>
          </w:p>
        </w:tc>
      </w:tr>
      <w:tr w:rsidR="00BC2D61" w:rsidRPr="00813EAE" w:rsidTr="00AB2C1B">
        <w:tc>
          <w:tcPr>
            <w:tcW w:w="5490" w:type="dxa"/>
            <w:shd w:val="clear" w:color="auto" w:fill="FFFFFF" w:themeFill="background1"/>
            <w:tcMar>
              <w:top w:w="60" w:type="dxa"/>
              <w:left w:w="120" w:type="dxa"/>
              <w:bottom w:w="60" w:type="dxa"/>
              <w:right w:w="45" w:type="dxa"/>
            </w:tcMar>
            <w:vAlign w:val="center"/>
          </w:tcPr>
          <w:p w:rsidR="00BC2D61" w:rsidRPr="00813EAE" w:rsidRDefault="00BC2D61" w:rsidP="00AB2C1B">
            <w:pPr>
              <w:rPr>
                <w:sz w:val="22"/>
                <w:szCs w:val="22"/>
              </w:rPr>
            </w:pPr>
          </w:p>
        </w:tc>
        <w:tc>
          <w:tcPr>
            <w:tcW w:w="9187" w:type="dxa"/>
            <w:tcBorders>
              <w:bottom w:val="single" w:sz="18" w:space="0" w:color="000000" w:themeColor="text1"/>
            </w:tcBorders>
            <w:shd w:val="clear" w:color="auto" w:fill="FFFFFF" w:themeFill="background1"/>
            <w:tcMar>
              <w:top w:w="0" w:type="dxa"/>
              <w:left w:w="0" w:type="dxa"/>
              <w:bottom w:w="0" w:type="dxa"/>
              <w:right w:w="75" w:type="dxa"/>
            </w:tcMar>
            <w:vAlign w:val="center"/>
          </w:tcPr>
          <w:p w:rsidR="00BC2D61" w:rsidRPr="00813EAE" w:rsidRDefault="00BC2D61" w:rsidP="00AB2C1B">
            <w:pPr>
              <w:rPr>
                <w:sz w:val="22"/>
                <w:szCs w:val="22"/>
              </w:rPr>
            </w:pPr>
          </w:p>
        </w:tc>
        <w:tc>
          <w:tcPr>
            <w:tcW w:w="4193" w:type="dxa"/>
            <w:shd w:val="clear" w:color="auto" w:fill="FFFFFF" w:themeFill="background1"/>
            <w:tcMar>
              <w:top w:w="0" w:type="dxa"/>
              <w:left w:w="0" w:type="dxa"/>
              <w:bottom w:w="0" w:type="dxa"/>
              <w:right w:w="75" w:type="dxa"/>
            </w:tcMar>
            <w:vAlign w:val="center"/>
          </w:tcPr>
          <w:p w:rsidR="00BC2D61" w:rsidRPr="00813EAE" w:rsidRDefault="00BC2D61" w:rsidP="00AB2C1B">
            <w:pPr>
              <w:rPr>
                <w:sz w:val="22"/>
                <w:szCs w:val="22"/>
              </w:rPr>
            </w:pP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b/>
                <w:bCs/>
                <w:sz w:val="22"/>
                <w:szCs w:val="22"/>
              </w:rPr>
            </w:pPr>
            <w:r w:rsidRPr="00813EAE">
              <w:rPr>
                <w:b/>
                <w:bCs/>
                <w:sz w:val="22"/>
                <w:szCs w:val="22"/>
              </w:rPr>
              <w:t>Families &amp; Living Arrangements</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Households, 2013-2017</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1,737,645</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118,825,921</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Persons per household, 2013-2017</w:t>
            </w:r>
          </w:p>
        </w:tc>
        <w:tc>
          <w:tcPr>
            <w:tcW w:w="9187"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2.61</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2.63</w:t>
            </w: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lastRenderedPageBreak/>
              <w:t>Living in same house 1 year ago, percent of persons age 1 year+, 2013-2017</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86.7%</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85.4%</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Language other than English spoken at home, percent of persons age 5 years+, 2013-2017</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8.3%</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21.3%</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b/>
                <w:bCs/>
                <w:sz w:val="22"/>
                <w:szCs w:val="22"/>
              </w:rPr>
            </w:pPr>
            <w:r w:rsidRPr="00813EAE">
              <w:rPr>
                <w:b/>
                <w:bCs/>
                <w:sz w:val="22"/>
                <w:szCs w:val="22"/>
              </w:rPr>
              <w:t>Computer and Internet Use</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Households with a computer, percent, 2013-2017</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81.6%</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87.2%</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Households with a broadband Internet subscription, percent, 2013-2017</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70.2%</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78.1%</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b/>
                <w:bCs/>
                <w:sz w:val="22"/>
                <w:szCs w:val="22"/>
              </w:rPr>
            </w:pPr>
            <w:r w:rsidRPr="00813EAE">
              <w:rPr>
                <w:b/>
                <w:bCs/>
                <w:sz w:val="22"/>
                <w:szCs w:val="22"/>
              </w:rPr>
              <w:t>Education</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High school graduate or higher, percent of persons age 25 years+, 2013-2017</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84.3%</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87.3%</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Bachelor's degree or higher, percent of persons age 25 years+, 2013-2017</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23.4%</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30.9%</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b/>
                <w:bCs/>
                <w:sz w:val="22"/>
                <w:szCs w:val="22"/>
              </w:rPr>
            </w:pPr>
            <w:r w:rsidRPr="00813EAE">
              <w:rPr>
                <w:b/>
                <w:bCs/>
                <w:sz w:val="22"/>
                <w:szCs w:val="22"/>
              </w:rPr>
              <w:t>Health</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With a disability, under age 65 years, percent, 2013-2017</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10.9%</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8.7%</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Persons without health insurance, under age 65 years, percent</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9.7%</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10.2%</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sz w:val="22"/>
                <w:szCs w:val="22"/>
              </w:rPr>
            </w:pPr>
            <w:r w:rsidRPr="00813EAE">
              <w:rPr>
                <w:sz w:val="22"/>
                <w:szCs w:val="22"/>
              </w:rPr>
              <w:t>Economy</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In civilian labor force, total, percent of population age 16 years+, 2013-2017</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59.6%</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63.0%</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In civilian labor force, female, percent of population age 16 years+, 2013-2017</w:t>
            </w:r>
          </w:p>
        </w:tc>
        <w:tc>
          <w:tcPr>
            <w:tcW w:w="9187"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55.5%</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58.2%</w:t>
            </w: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 xml:space="preserve">Total accommodation and food services sales, 2012 ($1,000) </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11,697,949</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708,138,598</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 xml:space="preserve">Total health care and social assistance receipts/revenue, 2012 ($1,000) </w:t>
            </w:r>
          </w:p>
        </w:tc>
        <w:tc>
          <w:tcPr>
            <w:tcW w:w="9187"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27,951,792</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2,040,441,203</w:t>
            </w: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lastRenderedPageBreak/>
              <w:t xml:space="preserve">Total manufacturers’ shipments, 2012 ($1,000) </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271,191,050</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5,696,729,632</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 xml:space="preserve">Total merchant wholesaler sales, 2012 ($1,000) </w:t>
            </w:r>
          </w:p>
        </w:tc>
        <w:tc>
          <w:tcPr>
            <w:tcW w:w="9187"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68,012,838</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5,208,023,478</w:t>
            </w: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 xml:space="preserve">Total retail sales, 2012 ($1,000) </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61,396,364</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4,219,821,871</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Total retail sales per capita, 2012</w:t>
            </w:r>
          </w:p>
        </w:tc>
        <w:tc>
          <w:tcPr>
            <w:tcW w:w="9187" w:type="dxa"/>
            <w:tcBorders>
              <w:bottom w:val="single" w:sz="18" w:space="0" w:color="000000" w:themeColor="text1"/>
            </w:tcBorders>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$13,342</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$13,443</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sz w:val="22"/>
                <w:szCs w:val="22"/>
              </w:rPr>
            </w:pPr>
            <w:r w:rsidRPr="00813EAE">
              <w:rPr>
                <w:sz w:val="22"/>
                <w:szCs w:val="22"/>
              </w:rPr>
              <w:t>Transportation</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Mean travel time to work (minutes), workers age 16 years+, 2013-2017</w:t>
            </w:r>
          </w:p>
        </w:tc>
        <w:tc>
          <w:tcPr>
            <w:tcW w:w="9187" w:type="dxa"/>
            <w:tcBorders>
              <w:bottom w:val="single" w:sz="18" w:space="0" w:color="000000" w:themeColor="text1"/>
            </w:tcBorders>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25.2</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26.4</w:t>
            </w:r>
          </w:p>
        </w:tc>
      </w:tr>
      <w:tr w:rsidR="00BC2D61" w:rsidRPr="00813EAE" w:rsidTr="00AB2C1B">
        <w:tc>
          <w:tcPr>
            <w:tcW w:w="5490" w:type="dxa"/>
            <w:tcBorders>
              <w:right w:val="nil"/>
            </w:tcBorders>
            <w:shd w:val="clear" w:color="auto" w:fill="D9E2F3" w:themeFill="accent1" w:themeFillTint="33"/>
            <w:tcMar>
              <w:top w:w="75" w:type="dxa"/>
              <w:left w:w="75" w:type="dxa"/>
              <w:bottom w:w="75" w:type="dxa"/>
              <w:right w:w="75" w:type="dxa"/>
            </w:tcMar>
            <w:vAlign w:val="center"/>
            <w:hideMark/>
          </w:tcPr>
          <w:p w:rsidR="00BC2D61" w:rsidRPr="00813EAE" w:rsidRDefault="00BC2D61" w:rsidP="00AB2C1B">
            <w:pPr>
              <w:rPr>
                <w:sz w:val="22"/>
                <w:szCs w:val="22"/>
              </w:rPr>
            </w:pPr>
            <w:r w:rsidRPr="00813EAE">
              <w:rPr>
                <w:sz w:val="22"/>
                <w:szCs w:val="22"/>
              </w:rPr>
              <w:t>Income &amp; Poverty</w:t>
            </w:r>
          </w:p>
        </w:tc>
        <w:tc>
          <w:tcPr>
            <w:tcW w:w="9187" w:type="dxa"/>
            <w:tcBorders>
              <w:left w:val="nil"/>
              <w:righ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c>
          <w:tcPr>
            <w:tcW w:w="4193" w:type="dxa"/>
            <w:tcBorders>
              <w:left w:val="nil"/>
            </w:tcBorders>
            <w:shd w:val="clear" w:color="auto" w:fill="D9E2F3" w:themeFill="accent1" w:themeFillTint="33"/>
            <w:tcMar>
              <w:top w:w="0" w:type="dxa"/>
              <w:left w:w="0" w:type="dxa"/>
              <w:bottom w:w="0" w:type="dxa"/>
              <w:right w:w="75" w:type="dxa"/>
            </w:tcMar>
            <w:vAlign w:val="center"/>
            <w:hideMark/>
          </w:tcPr>
          <w:p w:rsidR="00BC2D61" w:rsidRPr="00813EAE" w:rsidRDefault="00BC2D61" w:rsidP="00AB2C1B">
            <w:pPr>
              <w:rPr>
                <w:sz w:val="22"/>
                <w:szCs w:val="22"/>
              </w:rPr>
            </w:pP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Median household income (in 2017 dollars), 2013-2017</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$46,710</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$57,652</w:t>
            </w:r>
          </w:p>
        </w:tc>
      </w:tr>
      <w:tr w:rsidR="00BC2D61" w:rsidRPr="00813EAE" w:rsidTr="00AB2C1B">
        <w:tc>
          <w:tcPr>
            <w:tcW w:w="5490" w:type="dxa"/>
            <w:shd w:val="clear" w:color="auto" w:fill="FFFFFF"/>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Per capita income in past 12 months (in 2017 dollars), 2013-2017</w:t>
            </w:r>
          </w:p>
        </w:tc>
        <w:tc>
          <w:tcPr>
            <w:tcW w:w="9187"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$26,205</w:t>
            </w:r>
          </w:p>
        </w:tc>
        <w:tc>
          <w:tcPr>
            <w:tcW w:w="4193" w:type="dxa"/>
            <w:shd w:val="clear" w:color="auto" w:fill="FFFFFF"/>
            <w:tcMar>
              <w:top w:w="0" w:type="dxa"/>
              <w:left w:w="0" w:type="dxa"/>
              <w:bottom w:w="0" w:type="dxa"/>
              <w:right w:w="75" w:type="dxa"/>
            </w:tcMar>
            <w:vAlign w:val="center"/>
            <w:hideMark/>
          </w:tcPr>
          <w:p w:rsidR="00BC2D61" w:rsidRPr="00813EAE" w:rsidRDefault="00BC2D61" w:rsidP="00AB2C1B">
            <w:pPr>
              <w:rPr>
                <w:sz w:val="22"/>
                <w:szCs w:val="22"/>
              </w:rPr>
            </w:pPr>
            <w:r w:rsidRPr="00813EAE">
              <w:rPr>
                <w:sz w:val="22"/>
                <w:szCs w:val="22"/>
              </w:rPr>
              <w:t>$31,177</w:t>
            </w:r>
          </w:p>
        </w:tc>
      </w:tr>
      <w:tr w:rsidR="00BC2D61" w:rsidRPr="00813EAE" w:rsidTr="00AB2C1B">
        <w:tc>
          <w:tcPr>
            <w:tcW w:w="5490" w:type="dxa"/>
            <w:shd w:val="clear" w:color="auto" w:fill="F1F3F5"/>
            <w:tcMar>
              <w:top w:w="60" w:type="dxa"/>
              <w:left w:w="120" w:type="dxa"/>
              <w:bottom w:w="60" w:type="dxa"/>
              <w:right w:w="45" w:type="dxa"/>
            </w:tcMar>
            <w:vAlign w:val="center"/>
            <w:hideMark/>
          </w:tcPr>
          <w:p w:rsidR="00BC2D61" w:rsidRPr="00813EAE" w:rsidRDefault="00BC2D61" w:rsidP="00AB2C1B">
            <w:pPr>
              <w:rPr>
                <w:sz w:val="22"/>
                <w:szCs w:val="22"/>
              </w:rPr>
            </w:pPr>
            <w:r w:rsidRPr="00813EAE">
              <w:rPr>
                <w:sz w:val="22"/>
                <w:szCs w:val="22"/>
              </w:rPr>
              <w:t>Persons in poverty, percent</w:t>
            </w:r>
          </w:p>
        </w:tc>
        <w:tc>
          <w:tcPr>
            <w:tcW w:w="9187"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19.7%</w:t>
            </w:r>
          </w:p>
        </w:tc>
        <w:tc>
          <w:tcPr>
            <w:tcW w:w="4193" w:type="dxa"/>
            <w:shd w:val="clear" w:color="auto" w:fill="F1F3F5"/>
            <w:tcMar>
              <w:top w:w="0" w:type="dxa"/>
              <w:left w:w="0" w:type="dxa"/>
              <w:bottom w:w="0" w:type="dxa"/>
              <w:right w:w="75" w:type="dxa"/>
            </w:tcMar>
            <w:vAlign w:val="center"/>
            <w:hideMark/>
          </w:tcPr>
          <w:p w:rsidR="00BC2D61" w:rsidRPr="00813EAE" w:rsidRDefault="00BC2D61" w:rsidP="00AB2C1B">
            <w:pPr>
              <w:rPr>
                <w:sz w:val="22"/>
                <w:szCs w:val="22"/>
              </w:rPr>
            </w:pPr>
          </w:p>
          <w:p w:rsidR="00BC2D61" w:rsidRPr="00813EAE" w:rsidRDefault="00BC2D61" w:rsidP="00AB2C1B">
            <w:pPr>
              <w:rPr>
                <w:sz w:val="22"/>
                <w:szCs w:val="22"/>
              </w:rPr>
            </w:pPr>
            <w:r w:rsidRPr="00813EAE">
              <w:rPr>
                <w:sz w:val="22"/>
                <w:szCs w:val="22"/>
              </w:rPr>
              <w:t>12.3%</w:t>
            </w:r>
          </w:p>
        </w:tc>
      </w:tr>
    </w:tbl>
    <w:p w:rsidR="00735375" w:rsidRDefault="00735375"/>
    <w:p w:rsidR="00867D81" w:rsidRDefault="00867D81">
      <w:pPr>
        <w:spacing w:after="160" w:line="259" w:lineRule="auto"/>
      </w:pPr>
      <w:r>
        <w:br w:type="page"/>
      </w:r>
    </w:p>
    <w:tbl>
      <w:tblPr>
        <w:tblStyle w:val="TableGrid"/>
        <w:tblW w:w="10877" w:type="dxa"/>
        <w:tblLook w:val="04A0" w:firstRow="1" w:lastRow="0" w:firstColumn="1" w:lastColumn="0" w:noHBand="0" w:noVBand="1"/>
      </w:tblPr>
      <w:tblGrid>
        <w:gridCol w:w="10615"/>
        <w:gridCol w:w="262"/>
      </w:tblGrid>
      <w:tr w:rsidR="00000070" w:rsidTr="00212325">
        <w:tc>
          <w:tcPr>
            <w:tcW w:w="10615" w:type="dxa"/>
            <w:tcBorders>
              <w:top w:val="nil"/>
              <w:left w:val="nil"/>
              <w:bottom w:val="nil"/>
              <w:right w:val="nil"/>
            </w:tcBorders>
          </w:tcPr>
          <w:p w:rsidR="00000070" w:rsidRDefault="00000070" w:rsidP="000A6F74">
            <w:pPr>
              <w:pStyle w:val="Heading2"/>
              <w:outlineLvl w:val="1"/>
            </w:pPr>
            <w:bookmarkStart w:id="155" w:name="_Toc16611439"/>
            <w:bookmarkStart w:id="156" w:name="_Toc20256131"/>
            <w:r w:rsidRPr="00F72FCC">
              <w:lastRenderedPageBreak/>
              <w:t>INSTRUCTOR FINAL EXAM</w:t>
            </w:r>
            <w:bookmarkEnd w:id="155"/>
            <w:bookmarkEnd w:id="156"/>
          </w:p>
          <w:p w:rsidR="00F14FD4" w:rsidRPr="00F14FD4" w:rsidRDefault="00F14FD4" w:rsidP="00F14FD4"/>
          <w:p w:rsidR="00C66495" w:rsidRPr="00F14FD4" w:rsidRDefault="00C66495" w:rsidP="00F14FD4">
            <w:pPr>
              <w:jc w:val="center"/>
            </w:pPr>
            <w:r>
              <w:rPr>
                <w:noProof/>
              </w:rPr>
              <w:drawing>
                <wp:inline distT="0" distB="0" distL="0" distR="0" wp14:anchorId="30091F8B" wp14:editId="5E7E4A14">
                  <wp:extent cx="3962400" cy="2227511"/>
                  <wp:effectExtent l="19050" t="19050" r="19050" b="209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de58.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4038794" cy="2270457"/>
                          </a:xfrm>
                          <a:prstGeom prst="rect">
                            <a:avLst/>
                          </a:prstGeom>
                          <a:ln>
                            <a:solidFill>
                              <a:schemeClr val="tx1"/>
                            </a:solidFill>
                          </a:ln>
                        </pic:spPr>
                      </pic:pic>
                    </a:graphicData>
                  </a:graphic>
                </wp:inline>
              </w:drawing>
            </w:r>
          </w:p>
          <w:p w:rsidR="00C66495" w:rsidRDefault="00C66495" w:rsidP="00000070"/>
          <w:p w:rsidR="00000070" w:rsidRPr="00F72FCC" w:rsidRDefault="00754C81" w:rsidP="00000070">
            <w:r>
              <w:t>1.</w:t>
            </w:r>
            <w:r w:rsidR="00000070" w:rsidRPr="00F72FCC">
              <w:t>Federally protected classes include:</w:t>
            </w:r>
          </w:p>
          <w:p w:rsidR="00000070" w:rsidRPr="00F72FCC" w:rsidRDefault="00000070" w:rsidP="00000070"/>
          <w:p w:rsidR="00000070" w:rsidRPr="00F72FCC" w:rsidRDefault="00000070" w:rsidP="00000070">
            <w:pPr>
              <w:ind w:left="720"/>
            </w:pPr>
            <w:r w:rsidRPr="00F72FCC">
              <w:t xml:space="preserve">A. Familial status, race, religion </w:t>
            </w:r>
          </w:p>
          <w:p w:rsidR="00000070" w:rsidRPr="00F72FCC" w:rsidRDefault="00000070" w:rsidP="00000070">
            <w:pPr>
              <w:ind w:left="720"/>
            </w:pPr>
            <w:r w:rsidRPr="00F72FCC">
              <w:t>B. Race, Religion, age</w:t>
            </w:r>
          </w:p>
          <w:p w:rsidR="00000070" w:rsidRPr="00F72FCC" w:rsidRDefault="00000070" w:rsidP="00000070">
            <w:pPr>
              <w:ind w:left="720"/>
            </w:pPr>
            <w:r w:rsidRPr="00F72FCC">
              <w:t>C. Sexual orientation, ethnicity, national origin</w:t>
            </w:r>
          </w:p>
          <w:p w:rsidR="00000070" w:rsidRPr="00F72FCC" w:rsidRDefault="00000070" w:rsidP="005E08C2">
            <w:pPr>
              <w:ind w:left="720"/>
            </w:pPr>
            <w:r w:rsidRPr="00F72FCC">
              <w:t>D. Gender identity, sex, familial status</w:t>
            </w:r>
          </w:p>
          <w:p w:rsidR="00000070" w:rsidRPr="00F72FCC" w:rsidRDefault="00000070" w:rsidP="00000070"/>
          <w:p w:rsidR="00000070" w:rsidRPr="00F72FCC" w:rsidRDefault="00000070" w:rsidP="00000070">
            <w:r w:rsidRPr="00F72FCC">
              <w:t>2. Lucy Landlord wants to discriminate on the basis of addiction to a controlled substance and those convicted of illegal manufacture of a controlled substance. Which of the following statements is NOT true?</w:t>
            </w:r>
          </w:p>
          <w:p w:rsidR="00000070" w:rsidRPr="00F72FCC" w:rsidRDefault="00000070" w:rsidP="00000070"/>
          <w:p w:rsidR="00000070" w:rsidRPr="00F72FCC" w:rsidRDefault="00000070" w:rsidP="00000070">
            <w:pPr>
              <w:ind w:firstLine="720"/>
            </w:pPr>
            <w:r w:rsidRPr="00F72FCC">
              <w:t>A. Yes, she can discriminate against a cocaine addict</w:t>
            </w:r>
          </w:p>
          <w:p w:rsidR="00000070" w:rsidRPr="00F72FCC" w:rsidRDefault="00000070" w:rsidP="00000070">
            <w:pPr>
              <w:ind w:firstLine="720"/>
            </w:pPr>
            <w:r w:rsidRPr="00F72FCC">
              <w:t>B. No: she cannot someone who is in recovery for drug addiction</w:t>
            </w:r>
          </w:p>
          <w:p w:rsidR="00000070" w:rsidRPr="00F72FCC" w:rsidRDefault="00000070" w:rsidP="00000070">
            <w:pPr>
              <w:ind w:left="720"/>
            </w:pPr>
            <w:r w:rsidRPr="00F72FCC">
              <w:t xml:space="preserve">C. Yes, she can discriminate against someone who is in recovery for drug addiction </w:t>
            </w:r>
          </w:p>
          <w:p w:rsidR="00000070" w:rsidRPr="00F72FCC" w:rsidRDefault="00000070" w:rsidP="00000070">
            <w:pPr>
              <w:ind w:left="720"/>
            </w:pPr>
            <w:r w:rsidRPr="00F72FCC">
              <w:t>D. Yes, she can prohibit smoking and drinking in her property</w:t>
            </w:r>
          </w:p>
          <w:p w:rsidR="00000070" w:rsidRPr="00F72FCC" w:rsidRDefault="00000070" w:rsidP="00000070"/>
          <w:p w:rsidR="00000070" w:rsidRPr="00F72FCC" w:rsidRDefault="00000070" w:rsidP="00000070">
            <w:r w:rsidRPr="00F72FCC">
              <w:t>3. Question: Fair Housing laws are enforced by:</w:t>
            </w:r>
          </w:p>
          <w:p w:rsidR="00000070" w:rsidRPr="00F72FCC" w:rsidRDefault="00000070" w:rsidP="00000070"/>
          <w:p w:rsidR="00000070" w:rsidRPr="00F72FCC" w:rsidRDefault="00000070" w:rsidP="00000070">
            <w:pPr>
              <w:ind w:left="720"/>
            </w:pPr>
            <w:r w:rsidRPr="00F72FCC">
              <w:t xml:space="preserve">A. HUD </w:t>
            </w:r>
          </w:p>
          <w:p w:rsidR="00000070" w:rsidRPr="00F72FCC" w:rsidRDefault="00000070" w:rsidP="00000070">
            <w:pPr>
              <w:ind w:left="720"/>
            </w:pPr>
            <w:r w:rsidRPr="00F72FCC">
              <w:t>B. The CFPB</w:t>
            </w:r>
          </w:p>
          <w:p w:rsidR="00000070" w:rsidRPr="00F72FCC" w:rsidRDefault="00000070" w:rsidP="00000070">
            <w:pPr>
              <w:ind w:left="720"/>
            </w:pPr>
            <w:r w:rsidRPr="00F72FCC">
              <w:t>C. The FBI</w:t>
            </w:r>
          </w:p>
          <w:p w:rsidR="00000070" w:rsidRPr="00F72FCC" w:rsidRDefault="00000070" w:rsidP="00000070">
            <w:pPr>
              <w:ind w:left="720"/>
            </w:pPr>
            <w:r w:rsidRPr="00F72FCC">
              <w:t>C. HOPA</w:t>
            </w:r>
          </w:p>
          <w:p w:rsidR="00000070" w:rsidRDefault="00000070" w:rsidP="00000070"/>
          <w:p w:rsidR="005E08C2" w:rsidRPr="00F72FCC" w:rsidRDefault="00C66495" w:rsidP="005E08C2">
            <w:r>
              <w:t xml:space="preserve">4. </w:t>
            </w:r>
            <w:r w:rsidR="005E08C2" w:rsidRPr="00F72FCC">
              <w:t>A service animal can only be:</w:t>
            </w:r>
          </w:p>
          <w:p w:rsidR="005E08C2" w:rsidRPr="00F72FCC" w:rsidRDefault="005E08C2" w:rsidP="005E08C2">
            <w:r w:rsidRPr="00F72FCC">
              <w:tab/>
              <w:t>a. A dog</w:t>
            </w:r>
          </w:p>
          <w:p w:rsidR="005E08C2" w:rsidRPr="00F72FCC" w:rsidRDefault="005E08C2" w:rsidP="005E08C2">
            <w:r w:rsidRPr="00F72FCC">
              <w:tab/>
              <w:t xml:space="preserve">b. A dog that has undergone specific training and is certified </w:t>
            </w:r>
          </w:p>
          <w:p w:rsidR="005E08C2" w:rsidRPr="00F72FCC" w:rsidRDefault="005E08C2" w:rsidP="005E08C2">
            <w:r w:rsidRPr="00F72FCC">
              <w:tab/>
              <w:t xml:space="preserve">c. Any animal </w:t>
            </w:r>
          </w:p>
          <w:p w:rsidR="005E08C2" w:rsidRDefault="005E08C2" w:rsidP="005E08C2">
            <w:r w:rsidRPr="00F72FCC">
              <w:tab/>
              <w:t>d. Any animal that has undergone specific training and is certified</w:t>
            </w:r>
            <w:r w:rsidR="00050577">
              <w:t xml:space="preserve"> </w:t>
            </w:r>
          </w:p>
          <w:p w:rsidR="0090784D" w:rsidRDefault="0090784D" w:rsidP="005E08C2"/>
          <w:p w:rsidR="005E08C2" w:rsidRPr="00F72FCC" w:rsidRDefault="005E08C2" w:rsidP="005E08C2">
            <w:r w:rsidRPr="00F72FCC">
              <w:lastRenderedPageBreak/>
              <w:t>5. Fair Housing complaints may be filed within:</w:t>
            </w:r>
          </w:p>
          <w:p w:rsidR="005E08C2" w:rsidRPr="00F72FCC" w:rsidRDefault="005E08C2" w:rsidP="005E08C2"/>
          <w:p w:rsidR="005E08C2" w:rsidRPr="00F72FCC" w:rsidRDefault="005E08C2" w:rsidP="005E08C2">
            <w:pPr>
              <w:ind w:left="720"/>
            </w:pPr>
            <w:r w:rsidRPr="00F72FCC">
              <w:t>A. 3 months</w:t>
            </w:r>
          </w:p>
          <w:p w:rsidR="005E08C2" w:rsidRPr="00F72FCC" w:rsidRDefault="005E08C2" w:rsidP="005E08C2">
            <w:pPr>
              <w:ind w:left="720"/>
            </w:pPr>
            <w:r w:rsidRPr="00F72FCC">
              <w:t>B. 6 months</w:t>
            </w:r>
          </w:p>
          <w:p w:rsidR="005E08C2" w:rsidRPr="00F72FCC" w:rsidRDefault="005E08C2" w:rsidP="005E08C2">
            <w:pPr>
              <w:ind w:left="720"/>
            </w:pPr>
            <w:r w:rsidRPr="00F72FCC">
              <w:t xml:space="preserve">C. 12 months </w:t>
            </w:r>
          </w:p>
          <w:p w:rsidR="005E08C2" w:rsidRDefault="005E08C2" w:rsidP="00C66495">
            <w:pPr>
              <w:ind w:left="720"/>
            </w:pPr>
            <w:r w:rsidRPr="00F72FCC">
              <w:t>D. 24 months</w:t>
            </w:r>
          </w:p>
          <w:p w:rsidR="005E08C2" w:rsidRDefault="005E08C2" w:rsidP="005E08C2"/>
          <w:p w:rsidR="005E08C2" w:rsidRPr="00F72FCC" w:rsidRDefault="005E08C2" w:rsidP="005E08C2">
            <w:r w:rsidRPr="00F72FCC">
              <w:t>6. Sally Shine has been found guilty of redlining. She is most likely a(n):</w:t>
            </w:r>
          </w:p>
          <w:p w:rsidR="005E08C2" w:rsidRPr="00F72FCC" w:rsidRDefault="005E08C2" w:rsidP="005E08C2"/>
          <w:p w:rsidR="005E08C2" w:rsidRPr="00F72FCC" w:rsidRDefault="005E08C2" w:rsidP="0085409A">
            <w:pPr>
              <w:pStyle w:val="ListParagraph"/>
              <w:numPr>
                <w:ilvl w:val="1"/>
                <w:numId w:val="13"/>
              </w:numPr>
            </w:pPr>
            <w:r w:rsidRPr="00F72FCC">
              <w:t xml:space="preserve">Mortgage Loan Originator </w:t>
            </w:r>
          </w:p>
          <w:p w:rsidR="005E08C2" w:rsidRPr="00F72FCC" w:rsidRDefault="005E08C2" w:rsidP="0085409A">
            <w:pPr>
              <w:pStyle w:val="ListParagraph"/>
              <w:numPr>
                <w:ilvl w:val="1"/>
                <w:numId w:val="13"/>
              </w:numPr>
            </w:pPr>
            <w:r w:rsidRPr="00F72FCC">
              <w:t>Escrow Officer</w:t>
            </w:r>
          </w:p>
          <w:p w:rsidR="005E08C2" w:rsidRPr="00F72FCC" w:rsidRDefault="005E08C2" w:rsidP="0085409A">
            <w:pPr>
              <w:pStyle w:val="ListParagraph"/>
              <w:numPr>
                <w:ilvl w:val="1"/>
                <w:numId w:val="13"/>
              </w:numPr>
            </w:pPr>
            <w:r w:rsidRPr="00F72FCC">
              <w:t>Real Estate Agent</w:t>
            </w:r>
          </w:p>
          <w:p w:rsidR="005E08C2" w:rsidRPr="00F72FCC" w:rsidRDefault="005E08C2" w:rsidP="0085409A">
            <w:pPr>
              <w:pStyle w:val="ListParagraph"/>
              <w:numPr>
                <w:ilvl w:val="1"/>
                <w:numId w:val="13"/>
              </w:numPr>
            </w:pPr>
            <w:r w:rsidRPr="00F72FCC">
              <w:t xml:space="preserve">Real Estate Broker </w:t>
            </w:r>
          </w:p>
          <w:p w:rsidR="005E08C2" w:rsidRPr="00F72FCC" w:rsidRDefault="005E08C2" w:rsidP="005E08C2"/>
          <w:p w:rsidR="005E08C2" w:rsidRDefault="005E08C2" w:rsidP="005E08C2">
            <w:r w:rsidRPr="00F72FCC">
              <w:t>7.When the Fair Housing Act was amended in 1988, who will now benefit from the added protections:</w:t>
            </w:r>
          </w:p>
          <w:p w:rsidR="005E08C2" w:rsidRPr="00F72FCC" w:rsidRDefault="005E08C2" w:rsidP="005E08C2"/>
          <w:p w:rsidR="005E08C2" w:rsidRPr="00F72FCC" w:rsidRDefault="005E08C2" w:rsidP="0085409A">
            <w:pPr>
              <w:pStyle w:val="ListParagraph"/>
              <w:numPr>
                <w:ilvl w:val="0"/>
                <w:numId w:val="15"/>
              </w:numPr>
            </w:pPr>
            <w:r w:rsidRPr="00F72FCC">
              <w:t xml:space="preserve">An 85-year-old </w:t>
            </w:r>
          </w:p>
          <w:p w:rsidR="005E08C2" w:rsidRPr="00F72FCC" w:rsidRDefault="005E08C2" w:rsidP="0085409A">
            <w:pPr>
              <w:pStyle w:val="ListParagraph"/>
              <w:numPr>
                <w:ilvl w:val="0"/>
                <w:numId w:val="15"/>
              </w:numPr>
            </w:pPr>
            <w:r w:rsidRPr="00F72FCC">
              <w:t>A Jewish immigrant</w:t>
            </w:r>
          </w:p>
          <w:p w:rsidR="005E08C2" w:rsidRPr="00F72FCC" w:rsidRDefault="005E08C2" w:rsidP="0085409A">
            <w:pPr>
              <w:pStyle w:val="ListParagraph"/>
              <w:numPr>
                <w:ilvl w:val="0"/>
                <w:numId w:val="15"/>
              </w:numPr>
            </w:pPr>
            <w:r w:rsidRPr="00F72FCC">
              <w:t xml:space="preserve">A paraplegic </w:t>
            </w:r>
          </w:p>
          <w:p w:rsidR="005E08C2" w:rsidRPr="00F72FCC" w:rsidRDefault="005E08C2" w:rsidP="0085409A">
            <w:pPr>
              <w:pStyle w:val="ListParagraph"/>
              <w:numPr>
                <w:ilvl w:val="0"/>
                <w:numId w:val="15"/>
              </w:numPr>
            </w:pPr>
            <w:r w:rsidRPr="00F72FCC">
              <w:t xml:space="preserve">A Catholic man </w:t>
            </w:r>
          </w:p>
          <w:p w:rsidR="005E08C2" w:rsidRPr="00F72FCC" w:rsidRDefault="005E08C2" w:rsidP="005E08C2"/>
          <w:p w:rsidR="005E08C2" w:rsidRPr="00F72FCC" w:rsidRDefault="005E08C2" w:rsidP="005E08C2">
            <w:r w:rsidRPr="00F72FCC">
              <w:t>8. Seller Steven instructs his agent, Realtor Rick, to do a complex screening process on all prospective buyers, because Steven has told his neighbors that he will only sell his home to “the RIGHT” kind of buyers. What should Realtor Rick do?</w:t>
            </w:r>
          </w:p>
          <w:p w:rsidR="005E08C2" w:rsidRPr="00F72FCC" w:rsidRDefault="005E08C2" w:rsidP="005E08C2"/>
          <w:p w:rsidR="005E08C2" w:rsidRPr="00F72FCC" w:rsidRDefault="005E08C2" w:rsidP="0085409A">
            <w:pPr>
              <w:pStyle w:val="ListParagraph"/>
              <w:numPr>
                <w:ilvl w:val="0"/>
                <w:numId w:val="16"/>
              </w:numPr>
            </w:pPr>
            <w:r w:rsidRPr="00F72FCC">
              <w:t>Follow his seller’s instructions, as Rick has the fiduciary duty of obedience</w:t>
            </w:r>
          </w:p>
          <w:p w:rsidR="005E08C2" w:rsidRPr="00F72FCC" w:rsidRDefault="005E08C2" w:rsidP="0085409A">
            <w:pPr>
              <w:pStyle w:val="ListParagraph"/>
              <w:numPr>
                <w:ilvl w:val="0"/>
                <w:numId w:val="16"/>
              </w:numPr>
            </w:pPr>
            <w:r w:rsidRPr="00F72FCC">
              <w:t>Ignore Steven’s request</w:t>
            </w:r>
          </w:p>
          <w:p w:rsidR="005E08C2" w:rsidRPr="00F72FCC" w:rsidRDefault="005E08C2" w:rsidP="0085409A">
            <w:pPr>
              <w:pStyle w:val="ListParagraph"/>
              <w:numPr>
                <w:ilvl w:val="0"/>
                <w:numId w:val="16"/>
              </w:numPr>
            </w:pPr>
            <w:r w:rsidRPr="00F72FCC">
              <w:t>Pretend to follow Steven’s request, but not actually do it</w:t>
            </w:r>
          </w:p>
          <w:p w:rsidR="005E08C2" w:rsidRPr="00F72FCC" w:rsidRDefault="005E08C2" w:rsidP="0085409A">
            <w:pPr>
              <w:pStyle w:val="ListParagraph"/>
              <w:numPr>
                <w:ilvl w:val="0"/>
                <w:numId w:val="16"/>
              </w:numPr>
            </w:pPr>
            <w:r w:rsidRPr="00F72FCC">
              <w:t xml:space="preserve">Advise Steven that his request violates Federal Fair Housing law and tell Steven he will not comply with his wishes </w:t>
            </w:r>
          </w:p>
          <w:p w:rsidR="005E08C2" w:rsidRPr="00F72FCC" w:rsidRDefault="005E08C2" w:rsidP="005E08C2"/>
          <w:p w:rsidR="005E08C2" w:rsidRDefault="005E08C2" w:rsidP="005E08C2">
            <w:r w:rsidRPr="00F72FCC">
              <w:t>9. Louisiana State additional protected classes include</w:t>
            </w:r>
            <w:r>
              <w:t>:</w:t>
            </w:r>
          </w:p>
          <w:p w:rsidR="005E08C2" w:rsidRPr="00F72FCC" w:rsidRDefault="005E08C2" w:rsidP="005E08C2"/>
          <w:p w:rsidR="005E08C2" w:rsidRPr="00F72FCC" w:rsidRDefault="005E08C2" w:rsidP="0085409A">
            <w:pPr>
              <w:pStyle w:val="ListParagraph"/>
              <w:numPr>
                <w:ilvl w:val="0"/>
                <w:numId w:val="14"/>
              </w:numPr>
            </w:pPr>
            <w:r w:rsidRPr="00F72FCC">
              <w:t xml:space="preserve">Sexual orientation, gender identity and source of income </w:t>
            </w:r>
          </w:p>
          <w:p w:rsidR="005E08C2" w:rsidRPr="00F72FCC" w:rsidRDefault="005E08C2" w:rsidP="0085409A">
            <w:pPr>
              <w:pStyle w:val="ListParagraph"/>
              <w:numPr>
                <w:ilvl w:val="0"/>
                <w:numId w:val="14"/>
              </w:numPr>
            </w:pPr>
            <w:r w:rsidRPr="00F72FCC">
              <w:t>Sexual orientation, gender identity, and hoarding</w:t>
            </w:r>
          </w:p>
          <w:p w:rsidR="005E08C2" w:rsidRPr="00F72FCC" w:rsidRDefault="005E08C2" w:rsidP="0085409A">
            <w:pPr>
              <w:pStyle w:val="ListParagraph"/>
              <w:numPr>
                <w:ilvl w:val="0"/>
                <w:numId w:val="14"/>
              </w:numPr>
            </w:pPr>
            <w:r w:rsidRPr="00F72FCC">
              <w:t>Sexual orientation, hoarding, and elderliness</w:t>
            </w:r>
          </w:p>
          <w:p w:rsidR="005E08C2" w:rsidRDefault="005E08C2" w:rsidP="0085409A">
            <w:pPr>
              <w:pStyle w:val="ListParagraph"/>
              <w:numPr>
                <w:ilvl w:val="0"/>
                <w:numId w:val="14"/>
              </w:numPr>
            </w:pPr>
            <w:r w:rsidRPr="00F72FCC">
              <w:t>Gender Identity, hoarding, and elderliness</w:t>
            </w:r>
          </w:p>
          <w:p w:rsidR="00C66495" w:rsidRDefault="00C66495" w:rsidP="005E08C2">
            <w:pPr>
              <w:pStyle w:val="ListParagraph"/>
              <w:ind w:left="0"/>
            </w:pPr>
          </w:p>
          <w:p w:rsidR="005E08C2" w:rsidRPr="00F72FCC" w:rsidRDefault="005E08C2" w:rsidP="00C66495">
            <w:pPr>
              <w:pStyle w:val="ListParagraph"/>
              <w:ind w:left="-30" w:firstLine="30"/>
            </w:pPr>
            <w:r>
              <w:t>10.</w:t>
            </w:r>
            <w:r w:rsidRPr="00F72FCC">
              <w:t>The fair housing category that protects single mothers with children under age 18 is:</w:t>
            </w:r>
          </w:p>
          <w:p w:rsidR="005E08C2" w:rsidRDefault="005E08C2" w:rsidP="005E08C2">
            <w:pPr>
              <w:pStyle w:val="ListParagraph"/>
              <w:ind w:left="2160"/>
            </w:pPr>
          </w:p>
          <w:p w:rsidR="005E08C2" w:rsidRPr="00F72FCC" w:rsidRDefault="005E08C2" w:rsidP="0085409A">
            <w:pPr>
              <w:pStyle w:val="ListParagraph"/>
              <w:numPr>
                <w:ilvl w:val="0"/>
                <w:numId w:val="17"/>
              </w:numPr>
            </w:pPr>
            <w:r w:rsidRPr="00F72FCC">
              <w:t>National origin</w:t>
            </w:r>
          </w:p>
          <w:p w:rsidR="005E08C2" w:rsidRPr="00F72FCC" w:rsidRDefault="005E08C2" w:rsidP="0085409A">
            <w:pPr>
              <w:pStyle w:val="ListParagraph"/>
              <w:numPr>
                <w:ilvl w:val="0"/>
                <w:numId w:val="17"/>
              </w:numPr>
            </w:pPr>
            <w:r w:rsidRPr="00F72FCC">
              <w:t>Sex</w:t>
            </w:r>
          </w:p>
          <w:p w:rsidR="005E08C2" w:rsidRPr="00F72FCC" w:rsidRDefault="005E08C2" w:rsidP="0085409A">
            <w:pPr>
              <w:pStyle w:val="ListParagraph"/>
              <w:numPr>
                <w:ilvl w:val="0"/>
                <w:numId w:val="17"/>
              </w:numPr>
            </w:pPr>
            <w:r w:rsidRPr="00F72FCC">
              <w:t>Religion</w:t>
            </w:r>
          </w:p>
          <w:p w:rsidR="005E08C2" w:rsidRDefault="005E08C2" w:rsidP="0085409A">
            <w:pPr>
              <w:pStyle w:val="ListParagraph"/>
              <w:numPr>
                <w:ilvl w:val="0"/>
                <w:numId w:val="17"/>
              </w:numPr>
            </w:pPr>
            <w:r w:rsidRPr="00F72FCC">
              <w:t xml:space="preserve">Familial status </w:t>
            </w:r>
          </w:p>
          <w:p w:rsidR="005E08C2" w:rsidRDefault="005E08C2" w:rsidP="0085409A">
            <w:pPr>
              <w:pStyle w:val="ListParagraph"/>
              <w:numPr>
                <w:ilvl w:val="0"/>
                <w:numId w:val="4"/>
              </w:numPr>
              <w:ind w:left="420"/>
            </w:pPr>
            <w:r w:rsidRPr="00F72FCC">
              <w:lastRenderedPageBreak/>
              <w:t>Which of the following may file a discrimination lawsuit in federal court if federal fair housing law has been allegedly violated?</w:t>
            </w:r>
          </w:p>
          <w:p w:rsidR="005E08C2" w:rsidRDefault="005E08C2" w:rsidP="005E08C2">
            <w:pPr>
              <w:pStyle w:val="ListParagraph"/>
              <w:ind w:left="360"/>
            </w:pPr>
          </w:p>
          <w:p w:rsidR="005E08C2" w:rsidRPr="00F72FCC" w:rsidRDefault="005E08C2" w:rsidP="0085409A">
            <w:pPr>
              <w:pStyle w:val="ListParagraph"/>
              <w:numPr>
                <w:ilvl w:val="1"/>
                <w:numId w:val="4"/>
              </w:numPr>
            </w:pPr>
            <w:r w:rsidRPr="00F72FCC">
              <w:t>A buyer</w:t>
            </w:r>
          </w:p>
          <w:p w:rsidR="005E08C2" w:rsidRPr="00F72FCC" w:rsidRDefault="005E08C2" w:rsidP="0085409A">
            <w:pPr>
              <w:pStyle w:val="ListParagraph"/>
              <w:numPr>
                <w:ilvl w:val="1"/>
                <w:numId w:val="4"/>
              </w:numPr>
            </w:pPr>
            <w:r w:rsidRPr="00F72FCC">
              <w:t>A seller</w:t>
            </w:r>
          </w:p>
          <w:p w:rsidR="005E08C2" w:rsidRPr="00F72FCC" w:rsidRDefault="005E08C2" w:rsidP="0085409A">
            <w:pPr>
              <w:pStyle w:val="ListParagraph"/>
              <w:numPr>
                <w:ilvl w:val="1"/>
                <w:numId w:val="4"/>
              </w:numPr>
            </w:pPr>
            <w:r w:rsidRPr="00F72FCC">
              <w:t>Any person aggrieved by racial discrimination</w:t>
            </w:r>
          </w:p>
          <w:p w:rsidR="005E08C2" w:rsidRPr="00F72FCC" w:rsidRDefault="005E08C2" w:rsidP="0085409A">
            <w:pPr>
              <w:pStyle w:val="ListParagraph"/>
              <w:numPr>
                <w:ilvl w:val="1"/>
                <w:numId w:val="4"/>
              </w:numPr>
            </w:pPr>
            <w:r w:rsidRPr="00F72FCC">
              <w:t xml:space="preserve">All of the above </w:t>
            </w:r>
          </w:p>
          <w:p w:rsidR="005E08C2" w:rsidRDefault="005E08C2" w:rsidP="005E08C2">
            <w:pPr>
              <w:pStyle w:val="ListParagraph"/>
              <w:ind w:left="0"/>
            </w:pPr>
          </w:p>
          <w:p w:rsidR="005E08C2" w:rsidRDefault="005E08C2" w:rsidP="0085409A">
            <w:pPr>
              <w:pStyle w:val="ListParagraph"/>
              <w:numPr>
                <w:ilvl w:val="0"/>
                <w:numId w:val="4"/>
              </w:numPr>
              <w:ind w:left="450" w:hanging="450"/>
            </w:pPr>
            <w:r w:rsidRPr="00F72FCC">
              <w:t>The Federal Fair Housing Act does NOT prohibit:</w:t>
            </w:r>
          </w:p>
          <w:p w:rsidR="005E08C2" w:rsidRPr="00F72FCC" w:rsidRDefault="005E08C2" w:rsidP="005E08C2">
            <w:pPr>
              <w:pStyle w:val="ListParagraph"/>
              <w:ind w:left="450" w:hanging="450"/>
            </w:pPr>
          </w:p>
          <w:p w:rsidR="005E08C2" w:rsidRPr="00F72FCC" w:rsidRDefault="005E08C2" w:rsidP="0085409A">
            <w:pPr>
              <w:pStyle w:val="ListParagraph"/>
              <w:numPr>
                <w:ilvl w:val="1"/>
                <w:numId w:val="4"/>
              </w:numPr>
            </w:pPr>
            <w:r w:rsidRPr="00F72FCC">
              <w:t xml:space="preserve">Discrimination of a person based on inability to qualify for a loan </w:t>
            </w:r>
          </w:p>
          <w:p w:rsidR="005E08C2" w:rsidRPr="00F72FCC" w:rsidRDefault="005E08C2" w:rsidP="0085409A">
            <w:pPr>
              <w:pStyle w:val="ListParagraph"/>
              <w:numPr>
                <w:ilvl w:val="1"/>
                <w:numId w:val="4"/>
              </w:numPr>
            </w:pPr>
            <w:r w:rsidRPr="00F72FCC">
              <w:t>Discrimination of a person based on being an alcoholic</w:t>
            </w:r>
          </w:p>
          <w:p w:rsidR="005E08C2" w:rsidRPr="00F72FCC" w:rsidRDefault="005E08C2" w:rsidP="0085409A">
            <w:pPr>
              <w:pStyle w:val="ListParagraph"/>
              <w:numPr>
                <w:ilvl w:val="1"/>
                <w:numId w:val="4"/>
              </w:numPr>
            </w:pPr>
            <w:r w:rsidRPr="00F72FCC">
              <w:t>Discrimination of a person based on their religion</w:t>
            </w:r>
          </w:p>
          <w:p w:rsidR="005E08C2" w:rsidRPr="00F72FCC" w:rsidRDefault="005E08C2" w:rsidP="0085409A">
            <w:pPr>
              <w:pStyle w:val="ListParagraph"/>
              <w:numPr>
                <w:ilvl w:val="1"/>
                <w:numId w:val="4"/>
              </w:numPr>
            </w:pPr>
            <w:r w:rsidRPr="00F72FCC">
              <w:t>Discrimination of a person based on their having AIDS</w:t>
            </w:r>
          </w:p>
          <w:p w:rsidR="005E08C2" w:rsidRPr="00F72FCC" w:rsidRDefault="005E08C2" w:rsidP="005E08C2">
            <w:pPr>
              <w:ind w:left="450" w:hanging="450"/>
            </w:pPr>
          </w:p>
          <w:p w:rsidR="005E08C2" w:rsidRPr="00F72FCC" w:rsidRDefault="005E08C2" w:rsidP="0085409A">
            <w:pPr>
              <w:pStyle w:val="ListParagraph"/>
              <w:numPr>
                <w:ilvl w:val="0"/>
                <w:numId w:val="4"/>
              </w:numPr>
              <w:ind w:left="450" w:hanging="450"/>
            </w:pPr>
            <w:r w:rsidRPr="00F72FCC">
              <w:t>Robert has been in a wheelchair since his car accident three years ago. He has found an apartment he wants to rent. Robert loves the apartment. It is perfect for him, except that he cannot gain access the bathroom without making alterations to the doorway and bathtub. The landlord’s lease specifically prohibits alterations to the property. Which of the following statements is NOT true?</w:t>
            </w:r>
          </w:p>
          <w:p w:rsidR="005E08C2" w:rsidRPr="00F72FCC" w:rsidRDefault="005E08C2" w:rsidP="005E08C2">
            <w:pPr>
              <w:ind w:left="450" w:hanging="450"/>
            </w:pPr>
          </w:p>
          <w:p w:rsidR="005E08C2" w:rsidRPr="00F72FCC" w:rsidRDefault="005E08C2" w:rsidP="0085409A">
            <w:pPr>
              <w:pStyle w:val="ListParagraph"/>
              <w:numPr>
                <w:ilvl w:val="1"/>
                <w:numId w:val="4"/>
              </w:numPr>
            </w:pPr>
            <w:r w:rsidRPr="00F72FCC">
              <w:t>Despite the terms of the lease, Robert can make the alterations to the property</w:t>
            </w:r>
          </w:p>
          <w:p w:rsidR="005E08C2" w:rsidRPr="00F72FCC" w:rsidRDefault="005E08C2" w:rsidP="0085409A">
            <w:pPr>
              <w:pStyle w:val="ListParagraph"/>
              <w:numPr>
                <w:ilvl w:val="1"/>
                <w:numId w:val="4"/>
              </w:numPr>
            </w:pPr>
            <w:r w:rsidRPr="00F72FCC">
              <w:t>Robert will need to pay for the necessary alterations</w:t>
            </w:r>
          </w:p>
          <w:p w:rsidR="005E08C2" w:rsidRPr="00F72FCC" w:rsidRDefault="005E08C2" w:rsidP="0085409A">
            <w:pPr>
              <w:pStyle w:val="ListParagraph"/>
              <w:numPr>
                <w:ilvl w:val="1"/>
                <w:numId w:val="4"/>
              </w:numPr>
            </w:pPr>
            <w:r w:rsidRPr="00F72FCC">
              <w:t xml:space="preserve">The landlord can choose to not rent to Robert </w:t>
            </w:r>
          </w:p>
          <w:p w:rsidR="005E08C2" w:rsidRPr="00F72FCC" w:rsidRDefault="005E08C2" w:rsidP="0085409A">
            <w:pPr>
              <w:pStyle w:val="ListParagraph"/>
              <w:numPr>
                <w:ilvl w:val="1"/>
                <w:numId w:val="4"/>
              </w:numPr>
            </w:pPr>
            <w:r w:rsidRPr="00F72FCC">
              <w:t xml:space="preserve">The landlord can require Robert to establish an escrow account to restore the property to its original condition </w:t>
            </w:r>
          </w:p>
          <w:p w:rsidR="005E08C2" w:rsidRPr="00F72FCC" w:rsidRDefault="005E08C2" w:rsidP="005E08C2">
            <w:pPr>
              <w:pStyle w:val="ListParagraph"/>
              <w:ind w:left="450" w:hanging="450"/>
            </w:pPr>
          </w:p>
          <w:p w:rsidR="005E08C2" w:rsidRDefault="005E08C2" w:rsidP="0085409A">
            <w:pPr>
              <w:pStyle w:val="ListParagraph"/>
              <w:numPr>
                <w:ilvl w:val="0"/>
                <w:numId w:val="4"/>
              </w:numPr>
              <w:ind w:left="450" w:hanging="450"/>
            </w:pPr>
            <w:r w:rsidRPr="00F72FCC">
              <w:t>It is illegal for a lender to refuse to make a loan if:</w:t>
            </w:r>
          </w:p>
          <w:p w:rsidR="005E08C2" w:rsidRPr="00F72FCC" w:rsidRDefault="005E08C2" w:rsidP="005E08C2">
            <w:pPr>
              <w:pStyle w:val="ListParagraph"/>
              <w:ind w:left="450"/>
            </w:pPr>
          </w:p>
          <w:p w:rsidR="005E08C2" w:rsidRPr="00F72FCC" w:rsidRDefault="005E08C2" w:rsidP="0085409A">
            <w:pPr>
              <w:pStyle w:val="ListParagraph"/>
              <w:numPr>
                <w:ilvl w:val="1"/>
                <w:numId w:val="4"/>
              </w:numPr>
            </w:pPr>
            <w:r w:rsidRPr="00F72FCC">
              <w:t>The buyer is 17</w:t>
            </w:r>
          </w:p>
          <w:p w:rsidR="005E08C2" w:rsidRPr="00F72FCC" w:rsidRDefault="005E08C2" w:rsidP="0085409A">
            <w:pPr>
              <w:pStyle w:val="ListParagraph"/>
              <w:numPr>
                <w:ilvl w:val="1"/>
                <w:numId w:val="4"/>
              </w:numPr>
            </w:pPr>
            <w:r w:rsidRPr="00F72FCC">
              <w:t>The buyer is unemployed</w:t>
            </w:r>
          </w:p>
          <w:p w:rsidR="005E08C2" w:rsidRPr="00F72FCC" w:rsidRDefault="005E08C2" w:rsidP="0085409A">
            <w:pPr>
              <w:pStyle w:val="ListParagraph"/>
              <w:numPr>
                <w:ilvl w:val="1"/>
                <w:numId w:val="4"/>
              </w:numPr>
            </w:pPr>
            <w:r w:rsidRPr="00F72FCC">
              <w:t>The buyer has poor credit</w:t>
            </w:r>
          </w:p>
          <w:p w:rsidR="005E08C2" w:rsidRPr="00F72FCC" w:rsidRDefault="005E08C2" w:rsidP="0085409A">
            <w:pPr>
              <w:pStyle w:val="ListParagraph"/>
              <w:numPr>
                <w:ilvl w:val="1"/>
                <w:numId w:val="4"/>
              </w:numPr>
            </w:pPr>
            <w:r w:rsidRPr="00F72FCC">
              <w:t xml:space="preserve">The property is located in a certain part of town </w:t>
            </w:r>
          </w:p>
          <w:p w:rsidR="005E08C2" w:rsidRDefault="005E08C2" w:rsidP="005E08C2">
            <w:pPr>
              <w:pStyle w:val="ListParagraph"/>
              <w:ind w:left="0"/>
            </w:pPr>
          </w:p>
          <w:p w:rsidR="005E08C2" w:rsidRDefault="005E08C2" w:rsidP="0085409A">
            <w:pPr>
              <w:pStyle w:val="ListParagraph"/>
              <w:numPr>
                <w:ilvl w:val="0"/>
                <w:numId w:val="4"/>
              </w:numPr>
              <w:ind w:left="450" w:hanging="450"/>
            </w:pPr>
            <w:r w:rsidRPr="00F72FCC">
              <w:t>Which professional would most likely be found guilty of redlining?</w:t>
            </w:r>
          </w:p>
          <w:p w:rsidR="005E08C2" w:rsidRPr="00F72FCC" w:rsidRDefault="005E08C2" w:rsidP="005E08C2">
            <w:pPr>
              <w:pStyle w:val="ListParagraph"/>
              <w:ind w:left="450"/>
            </w:pPr>
          </w:p>
          <w:p w:rsidR="005E08C2" w:rsidRPr="00F72FCC" w:rsidRDefault="005E08C2" w:rsidP="0085409A">
            <w:pPr>
              <w:pStyle w:val="ListParagraph"/>
              <w:numPr>
                <w:ilvl w:val="1"/>
                <w:numId w:val="4"/>
              </w:numPr>
            </w:pPr>
            <w:r w:rsidRPr="00F72FCC">
              <w:t>Escrow Officer</w:t>
            </w:r>
          </w:p>
          <w:p w:rsidR="005E08C2" w:rsidRPr="00F72FCC" w:rsidRDefault="005E08C2" w:rsidP="0085409A">
            <w:pPr>
              <w:pStyle w:val="ListParagraph"/>
              <w:numPr>
                <w:ilvl w:val="1"/>
                <w:numId w:val="4"/>
              </w:numPr>
            </w:pPr>
            <w:r w:rsidRPr="00F72FCC">
              <w:t xml:space="preserve">Mortgage Loan Officer </w:t>
            </w:r>
          </w:p>
          <w:p w:rsidR="005E08C2" w:rsidRPr="00F72FCC" w:rsidRDefault="005E08C2" w:rsidP="0085409A">
            <w:pPr>
              <w:pStyle w:val="ListParagraph"/>
              <w:numPr>
                <w:ilvl w:val="1"/>
                <w:numId w:val="4"/>
              </w:numPr>
            </w:pPr>
            <w:r w:rsidRPr="00F72FCC">
              <w:t>Real Estate Agent</w:t>
            </w:r>
          </w:p>
          <w:p w:rsidR="005E08C2" w:rsidRPr="00F72FCC" w:rsidRDefault="005E08C2" w:rsidP="0085409A">
            <w:pPr>
              <w:pStyle w:val="ListParagraph"/>
              <w:numPr>
                <w:ilvl w:val="1"/>
                <w:numId w:val="4"/>
              </w:numPr>
            </w:pPr>
            <w:r w:rsidRPr="00F72FCC">
              <w:t>Real Estate Broker</w:t>
            </w:r>
          </w:p>
          <w:p w:rsidR="005E08C2" w:rsidRDefault="005E08C2" w:rsidP="005E08C2">
            <w:pPr>
              <w:ind w:left="450" w:hanging="450"/>
            </w:pPr>
          </w:p>
          <w:p w:rsidR="00C66495" w:rsidRDefault="00C66495" w:rsidP="005E08C2">
            <w:pPr>
              <w:ind w:left="450" w:hanging="450"/>
            </w:pPr>
          </w:p>
          <w:p w:rsidR="0090784D" w:rsidRDefault="0090784D" w:rsidP="005E08C2">
            <w:pPr>
              <w:ind w:left="450" w:hanging="450"/>
            </w:pPr>
          </w:p>
          <w:p w:rsidR="0090784D" w:rsidRDefault="0090784D" w:rsidP="005E08C2">
            <w:pPr>
              <w:ind w:left="450" w:hanging="450"/>
            </w:pPr>
          </w:p>
          <w:p w:rsidR="00C66495" w:rsidRPr="00F72FCC" w:rsidRDefault="00C66495" w:rsidP="005E08C2">
            <w:pPr>
              <w:ind w:left="450" w:hanging="450"/>
            </w:pPr>
          </w:p>
          <w:p w:rsidR="005E08C2" w:rsidRDefault="005E08C2" w:rsidP="0085409A">
            <w:pPr>
              <w:pStyle w:val="ListParagraph"/>
              <w:numPr>
                <w:ilvl w:val="0"/>
                <w:numId w:val="4"/>
              </w:numPr>
              <w:ind w:left="450" w:hanging="450"/>
            </w:pPr>
            <w:r w:rsidRPr="00F72FCC">
              <w:lastRenderedPageBreak/>
              <w:t>Which professional would most likely be found guilty of blockbusting?</w:t>
            </w:r>
          </w:p>
          <w:p w:rsidR="005E08C2" w:rsidRPr="00F72FCC" w:rsidRDefault="005E08C2" w:rsidP="005E08C2">
            <w:pPr>
              <w:pStyle w:val="ListParagraph"/>
              <w:ind w:left="450"/>
            </w:pPr>
          </w:p>
          <w:p w:rsidR="005E08C2" w:rsidRPr="00F72FCC" w:rsidRDefault="005E08C2" w:rsidP="0085409A">
            <w:pPr>
              <w:pStyle w:val="ListParagraph"/>
              <w:numPr>
                <w:ilvl w:val="1"/>
                <w:numId w:val="4"/>
              </w:numPr>
            </w:pPr>
            <w:r w:rsidRPr="00F72FCC">
              <w:t>Escrow Officer</w:t>
            </w:r>
          </w:p>
          <w:p w:rsidR="005E08C2" w:rsidRPr="00F72FCC" w:rsidRDefault="005E08C2" w:rsidP="0085409A">
            <w:pPr>
              <w:pStyle w:val="ListParagraph"/>
              <w:numPr>
                <w:ilvl w:val="1"/>
                <w:numId w:val="4"/>
              </w:numPr>
            </w:pPr>
            <w:r w:rsidRPr="00F72FCC">
              <w:t xml:space="preserve">Mortgage Loan Officer </w:t>
            </w:r>
          </w:p>
          <w:p w:rsidR="005E08C2" w:rsidRPr="00F72FCC" w:rsidRDefault="005E08C2" w:rsidP="0085409A">
            <w:pPr>
              <w:pStyle w:val="ListParagraph"/>
              <w:numPr>
                <w:ilvl w:val="1"/>
                <w:numId w:val="4"/>
              </w:numPr>
            </w:pPr>
            <w:r w:rsidRPr="00F72FCC">
              <w:t xml:space="preserve">Real Estate Agent </w:t>
            </w:r>
          </w:p>
          <w:p w:rsidR="005E08C2" w:rsidRPr="00F72FCC" w:rsidRDefault="005E08C2" w:rsidP="0085409A">
            <w:pPr>
              <w:pStyle w:val="ListParagraph"/>
              <w:numPr>
                <w:ilvl w:val="1"/>
                <w:numId w:val="4"/>
              </w:numPr>
            </w:pPr>
            <w:r w:rsidRPr="00F72FCC">
              <w:t>Insurance Agent</w:t>
            </w:r>
          </w:p>
          <w:p w:rsidR="005E08C2" w:rsidRPr="00F72FCC" w:rsidRDefault="005E08C2" w:rsidP="005E08C2"/>
          <w:p w:rsidR="005E08C2" w:rsidRDefault="005E08C2" w:rsidP="0085409A">
            <w:pPr>
              <w:pStyle w:val="ListParagraph"/>
              <w:numPr>
                <w:ilvl w:val="0"/>
                <w:numId w:val="4"/>
              </w:numPr>
              <w:ind w:left="450" w:hanging="450"/>
            </w:pPr>
            <w:r w:rsidRPr="00F72FCC">
              <w:t>What is the fine for a first-time violation of the Fair Housing Act?</w:t>
            </w:r>
          </w:p>
          <w:p w:rsidR="005E08C2" w:rsidRPr="00F72FCC" w:rsidRDefault="005E08C2" w:rsidP="005E08C2">
            <w:pPr>
              <w:pStyle w:val="ListParagraph"/>
              <w:ind w:left="450"/>
            </w:pPr>
          </w:p>
          <w:p w:rsidR="005E08C2" w:rsidRPr="00F72FCC" w:rsidRDefault="005E08C2" w:rsidP="0085409A">
            <w:pPr>
              <w:pStyle w:val="ListParagraph"/>
              <w:numPr>
                <w:ilvl w:val="1"/>
                <w:numId w:val="4"/>
              </w:numPr>
            </w:pPr>
            <w:r w:rsidRPr="00F72FCC">
              <w:t>$18,000</w:t>
            </w:r>
          </w:p>
          <w:p w:rsidR="005E08C2" w:rsidRPr="00F72FCC" w:rsidRDefault="005E08C2" w:rsidP="0085409A">
            <w:pPr>
              <w:pStyle w:val="ListParagraph"/>
              <w:numPr>
                <w:ilvl w:val="1"/>
                <w:numId w:val="4"/>
              </w:numPr>
            </w:pPr>
            <w:r w:rsidRPr="00F72FCC">
              <w:t>$25,000</w:t>
            </w:r>
          </w:p>
          <w:p w:rsidR="005E08C2" w:rsidRPr="00F72FCC" w:rsidRDefault="005E08C2" w:rsidP="0085409A">
            <w:pPr>
              <w:pStyle w:val="ListParagraph"/>
              <w:numPr>
                <w:ilvl w:val="1"/>
                <w:numId w:val="4"/>
              </w:numPr>
            </w:pPr>
            <w:r w:rsidRPr="00F72FCC">
              <w:t>$10,000</w:t>
            </w:r>
          </w:p>
          <w:p w:rsidR="005E08C2" w:rsidRPr="00F72FCC" w:rsidRDefault="005E08C2" w:rsidP="0085409A">
            <w:pPr>
              <w:pStyle w:val="ListParagraph"/>
              <w:numPr>
                <w:ilvl w:val="1"/>
                <w:numId w:val="4"/>
              </w:numPr>
            </w:pPr>
            <w:r w:rsidRPr="00F72FCC">
              <w:t>$16,000</w:t>
            </w:r>
          </w:p>
          <w:p w:rsidR="005E08C2" w:rsidRPr="00F72FCC" w:rsidRDefault="005E08C2" w:rsidP="005E08C2">
            <w:pPr>
              <w:ind w:left="450" w:hanging="450"/>
            </w:pPr>
          </w:p>
          <w:p w:rsidR="005E08C2" w:rsidRDefault="005E08C2" w:rsidP="0085409A">
            <w:pPr>
              <w:pStyle w:val="ListParagraph"/>
              <w:numPr>
                <w:ilvl w:val="0"/>
                <w:numId w:val="4"/>
              </w:numPr>
              <w:ind w:left="450" w:hanging="450"/>
            </w:pPr>
            <w:r w:rsidRPr="00F72FCC">
              <w:t>The Fair Housing Act:</w:t>
            </w:r>
          </w:p>
          <w:p w:rsidR="005E08C2" w:rsidRPr="00F72FCC" w:rsidRDefault="005E08C2" w:rsidP="005E08C2">
            <w:pPr>
              <w:pStyle w:val="ListParagraph"/>
              <w:ind w:left="450"/>
            </w:pPr>
          </w:p>
          <w:p w:rsidR="005E08C2" w:rsidRPr="00F72FCC" w:rsidRDefault="005E08C2" w:rsidP="0085409A">
            <w:pPr>
              <w:pStyle w:val="ListParagraph"/>
              <w:numPr>
                <w:ilvl w:val="1"/>
                <w:numId w:val="4"/>
              </w:numPr>
            </w:pPr>
            <w:r w:rsidRPr="00F72FCC">
              <w:t>Applies in some states</w:t>
            </w:r>
          </w:p>
          <w:p w:rsidR="005E08C2" w:rsidRPr="00F72FCC" w:rsidRDefault="005E08C2" w:rsidP="0085409A">
            <w:pPr>
              <w:pStyle w:val="ListParagraph"/>
              <w:numPr>
                <w:ilvl w:val="1"/>
                <w:numId w:val="4"/>
              </w:numPr>
            </w:pPr>
            <w:r w:rsidRPr="00F72FCC">
              <w:t>Applies in most states</w:t>
            </w:r>
          </w:p>
          <w:p w:rsidR="005E08C2" w:rsidRPr="00F72FCC" w:rsidRDefault="005E08C2" w:rsidP="0085409A">
            <w:pPr>
              <w:pStyle w:val="ListParagraph"/>
              <w:numPr>
                <w:ilvl w:val="1"/>
                <w:numId w:val="4"/>
              </w:numPr>
            </w:pPr>
            <w:r w:rsidRPr="00F72FCC">
              <w:t>Applies in all states</w:t>
            </w:r>
          </w:p>
          <w:p w:rsidR="005E08C2" w:rsidRPr="00F72FCC" w:rsidRDefault="005E08C2" w:rsidP="0085409A">
            <w:pPr>
              <w:pStyle w:val="ListParagraph"/>
              <w:numPr>
                <w:ilvl w:val="1"/>
                <w:numId w:val="4"/>
              </w:numPr>
            </w:pPr>
            <w:r w:rsidRPr="00F72FCC">
              <w:t>Applies only in states that do not have equivalent state fair housing laws</w:t>
            </w:r>
          </w:p>
          <w:p w:rsidR="005E08C2" w:rsidRPr="00F72FCC" w:rsidRDefault="005E08C2" w:rsidP="005E08C2">
            <w:pPr>
              <w:pStyle w:val="ListParagraph"/>
              <w:ind w:left="450" w:hanging="450"/>
            </w:pPr>
          </w:p>
          <w:p w:rsidR="005E08C2" w:rsidRDefault="005E08C2" w:rsidP="0085409A">
            <w:pPr>
              <w:pStyle w:val="ListParagraph"/>
              <w:numPr>
                <w:ilvl w:val="0"/>
                <w:numId w:val="4"/>
              </w:numPr>
              <w:ind w:left="450" w:hanging="450"/>
            </w:pPr>
            <w:r w:rsidRPr="00F72FCC">
              <w:t>Although “handicap” is included in the Fair Housing Act, the preferred term is now:</w:t>
            </w:r>
          </w:p>
          <w:p w:rsidR="005E08C2" w:rsidRPr="00F72FCC" w:rsidRDefault="005E08C2" w:rsidP="005E08C2">
            <w:pPr>
              <w:pStyle w:val="ListParagraph"/>
              <w:ind w:left="450"/>
            </w:pPr>
          </w:p>
          <w:p w:rsidR="005E08C2" w:rsidRPr="00F72FCC" w:rsidRDefault="005E08C2" w:rsidP="0085409A">
            <w:pPr>
              <w:pStyle w:val="ListParagraph"/>
              <w:numPr>
                <w:ilvl w:val="1"/>
                <w:numId w:val="4"/>
              </w:numPr>
              <w:ind w:left="1620" w:hanging="450"/>
            </w:pPr>
            <w:r w:rsidRPr="00F72FCC">
              <w:t>Impairment</w:t>
            </w:r>
          </w:p>
          <w:p w:rsidR="005E08C2" w:rsidRPr="00F72FCC" w:rsidRDefault="005E08C2" w:rsidP="0085409A">
            <w:pPr>
              <w:pStyle w:val="ListParagraph"/>
              <w:numPr>
                <w:ilvl w:val="1"/>
                <w:numId w:val="4"/>
              </w:numPr>
              <w:ind w:left="1620" w:hanging="450"/>
            </w:pPr>
            <w:r w:rsidRPr="00F72FCC">
              <w:t>Disability</w:t>
            </w:r>
          </w:p>
          <w:p w:rsidR="005E08C2" w:rsidRPr="00F72FCC" w:rsidRDefault="005E08C2" w:rsidP="0085409A">
            <w:pPr>
              <w:pStyle w:val="ListParagraph"/>
              <w:numPr>
                <w:ilvl w:val="1"/>
                <w:numId w:val="4"/>
              </w:numPr>
              <w:ind w:left="1620" w:hanging="450"/>
            </w:pPr>
            <w:r w:rsidRPr="00F72FCC">
              <w:t xml:space="preserve">Limited </w:t>
            </w:r>
          </w:p>
          <w:p w:rsidR="005E08C2" w:rsidRPr="00F72FCC" w:rsidRDefault="005E08C2" w:rsidP="0085409A">
            <w:pPr>
              <w:pStyle w:val="ListParagraph"/>
              <w:numPr>
                <w:ilvl w:val="1"/>
                <w:numId w:val="4"/>
              </w:numPr>
              <w:ind w:left="1620" w:hanging="450"/>
            </w:pPr>
            <w:r w:rsidRPr="00F72FCC">
              <w:t xml:space="preserve">Restricted </w:t>
            </w:r>
          </w:p>
          <w:p w:rsidR="005E08C2" w:rsidRPr="00F72FCC" w:rsidRDefault="005E08C2" w:rsidP="005E08C2">
            <w:pPr>
              <w:ind w:left="1620" w:hanging="450"/>
            </w:pPr>
          </w:p>
          <w:p w:rsidR="005E08C2" w:rsidRDefault="005E08C2" w:rsidP="0085409A">
            <w:pPr>
              <w:pStyle w:val="ListParagraph"/>
              <w:numPr>
                <w:ilvl w:val="0"/>
                <w:numId w:val="4"/>
              </w:numPr>
              <w:ind w:left="450" w:hanging="450"/>
            </w:pPr>
            <w:r w:rsidRPr="00F72FCC">
              <w:t xml:space="preserve"> Which of the following persons would NOT be protected under the “Handicap” classification:</w:t>
            </w:r>
          </w:p>
          <w:p w:rsidR="005E08C2" w:rsidRPr="00F72FCC" w:rsidRDefault="005E08C2" w:rsidP="005E08C2">
            <w:pPr>
              <w:pStyle w:val="ListParagraph"/>
              <w:ind w:left="450"/>
            </w:pPr>
          </w:p>
          <w:p w:rsidR="005E08C2" w:rsidRPr="00F72FCC" w:rsidRDefault="005E08C2" w:rsidP="0085409A">
            <w:pPr>
              <w:pStyle w:val="ListParagraph"/>
              <w:numPr>
                <w:ilvl w:val="1"/>
                <w:numId w:val="4"/>
              </w:numPr>
            </w:pPr>
            <w:r w:rsidRPr="00F72FCC">
              <w:t xml:space="preserve">A person with AIDS </w:t>
            </w:r>
          </w:p>
          <w:p w:rsidR="005E08C2" w:rsidRPr="00F72FCC" w:rsidRDefault="005E08C2" w:rsidP="0085409A">
            <w:pPr>
              <w:pStyle w:val="ListParagraph"/>
              <w:numPr>
                <w:ilvl w:val="1"/>
                <w:numId w:val="4"/>
              </w:numPr>
            </w:pPr>
            <w:r w:rsidRPr="00F72FCC">
              <w:t>A person currently addicted to illegal drugs</w:t>
            </w:r>
          </w:p>
          <w:p w:rsidR="005E08C2" w:rsidRPr="00F72FCC" w:rsidRDefault="005E08C2" w:rsidP="0085409A">
            <w:pPr>
              <w:pStyle w:val="ListParagraph"/>
              <w:numPr>
                <w:ilvl w:val="1"/>
                <w:numId w:val="4"/>
              </w:numPr>
            </w:pPr>
            <w:r w:rsidRPr="00F72FCC">
              <w:t>An alcoholic</w:t>
            </w:r>
          </w:p>
          <w:p w:rsidR="005E08C2" w:rsidRPr="00F72FCC" w:rsidRDefault="005E08C2" w:rsidP="0085409A">
            <w:pPr>
              <w:pStyle w:val="ListParagraph"/>
              <w:numPr>
                <w:ilvl w:val="1"/>
                <w:numId w:val="4"/>
              </w:numPr>
            </w:pPr>
            <w:r w:rsidRPr="00F72FCC">
              <w:t>A paraplegic</w:t>
            </w:r>
          </w:p>
          <w:p w:rsidR="005E08C2" w:rsidRDefault="005E08C2" w:rsidP="005E08C2">
            <w:pPr>
              <w:pStyle w:val="ListParagraph"/>
              <w:ind w:left="0"/>
            </w:pPr>
          </w:p>
          <w:p w:rsidR="005E08C2" w:rsidRDefault="005E08C2" w:rsidP="005E08C2">
            <w:pPr>
              <w:pStyle w:val="ListParagraph"/>
              <w:ind w:left="0"/>
            </w:pPr>
          </w:p>
          <w:p w:rsidR="005E08C2" w:rsidRDefault="005E08C2" w:rsidP="005E08C2">
            <w:pPr>
              <w:pStyle w:val="ListParagraph"/>
              <w:ind w:left="0"/>
            </w:pPr>
          </w:p>
          <w:p w:rsidR="005E08C2" w:rsidRDefault="005E08C2" w:rsidP="005E08C2">
            <w:pPr>
              <w:pStyle w:val="ListParagraph"/>
              <w:ind w:left="0"/>
            </w:pPr>
          </w:p>
          <w:p w:rsidR="005E08C2" w:rsidRDefault="005E08C2" w:rsidP="005E08C2">
            <w:pPr>
              <w:pStyle w:val="ListParagraph"/>
              <w:ind w:left="0"/>
            </w:pPr>
          </w:p>
          <w:p w:rsidR="005E08C2" w:rsidRPr="00000070" w:rsidRDefault="005E08C2" w:rsidP="00000070"/>
        </w:tc>
        <w:tc>
          <w:tcPr>
            <w:tcW w:w="262" w:type="dxa"/>
            <w:tcBorders>
              <w:top w:val="nil"/>
              <w:left w:val="nil"/>
              <w:bottom w:val="nil"/>
              <w:right w:val="nil"/>
            </w:tcBorders>
          </w:tcPr>
          <w:p w:rsidR="00000070" w:rsidRDefault="00000070" w:rsidP="00DA2858">
            <w:pPr>
              <w:rPr>
                <w:noProof/>
              </w:rPr>
            </w:pPr>
          </w:p>
          <w:p w:rsidR="00000070" w:rsidRDefault="00000070" w:rsidP="00DA2858">
            <w:pPr>
              <w:rPr>
                <w:noProof/>
              </w:rPr>
            </w:pPr>
          </w:p>
        </w:tc>
      </w:tr>
    </w:tbl>
    <w:p w:rsidR="00CD4517" w:rsidRDefault="00CD4517" w:rsidP="00F46680"/>
    <w:p w:rsidR="00953AAE" w:rsidRDefault="00953AAE" w:rsidP="00F46680"/>
    <w:p w:rsidR="00953AAE" w:rsidRDefault="00953AAE" w:rsidP="00F46680"/>
    <w:p w:rsidR="00953AAE" w:rsidRDefault="00953AAE" w:rsidP="00F46680"/>
    <w:p w:rsidR="00953AAE" w:rsidRPr="004371F9" w:rsidRDefault="00953AAE" w:rsidP="00953AAE">
      <w:pPr>
        <w:pStyle w:val="IntenseQuote"/>
        <w:rPr>
          <w:b/>
          <w:bCs/>
          <w:color w:val="000000" w:themeColor="text1"/>
          <w:sz w:val="44"/>
          <w:szCs w:val="44"/>
        </w:rPr>
      </w:pPr>
      <w:r w:rsidRPr="004371F9">
        <w:rPr>
          <w:b/>
          <w:bCs/>
          <w:color w:val="000000" w:themeColor="text1"/>
          <w:sz w:val="44"/>
          <w:szCs w:val="44"/>
        </w:rPr>
        <w:lastRenderedPageBreak/>
        <w:t>Why is teaching fair housing so hard?</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A lot of confusion and misunderstanding</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Hard to talk without offending</w:t>
      </w:r>
      <w:r>
        <w:rPr>
          <w:sz w:val="36"/>
          <w:szCs w:val="36"/>
        </w:rPr>
        <w:t xml:space="preserve"> some people </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 xml:space="preserve">How to not </w:t>
      </w:r>
      <w:r>
        <w:rPr>
          <w:sz w:val="36"/>
          <w:szCs w:val="36"/>
        </w:rPr>
        <w:t>“</w:t>
      </w:r>
      <w:r w:rsidRPr="004371F9">
        <w:rPr>
          <w:sz w:val="36"/>
          <w:szCs w:val="36"/>
        </w:rPr>
        <w:t>step in it</w:t>
      </w:r>
      <w:r>
        <w:rPr>
          <w:sz w:val="36"/>
          <w:szCs w:val="36"/>
        </w:rPr>
        <w:t>”</w:t>
      </w:r>
      <w:r w:rsidRPr="004371F9">
        <w:rPr>
          <w:sz w:val="36"/>
          <w:szCs w:val="36"/>
        </w:rPr>
        <w:t xml:space="preserve"> unintentionally</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 xml:space="preserve">Not Black/White </w:t>
      </w:r>
      <w:r>
        <w:rPr>
          <w:sz w:val="36"/>
          <w:szCs w:val="36"/>
        </w:rPr>
        <w:t xml:space="preserve">– it’s </w:t>
      </w:r>
      <w:r w:rsidRPr="004371F9">
        <w:rPr>
          <w:sz w:val="36"/>
          <w:szCs w:val="36"/>
        </w:rPr>
        <w:t>not 2+2=4</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Don’t understand other cultures</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Our own innate biases</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Hard to wash those biases off of us</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Change is hard</w:t>
      </w:r>
    </w:p>
    <w:p w:rsidR="00953AAE" w:rsidRPr="004371F9" w:rsidRDefault="00953AAE" w:rsidP="00953AAE">
      <w:pPr>
        <w:pStyle w:val="ListParagraph"/>
        <w:numPr>
          <w:ilvl w:val="0"/>
          <w:numId w:val="43"/>
        </w:numPr>
        <w:spacing w:after="160" w:line="259" w:lineRule="auto"/>
        <w:rPr>
          <w:sz w:val="36"/>
          <w:szCs w:val="36"/>
        </w:rPr>
      </w:pPr>
      <w:proofErr w:type="gramStart"/>
      <w:r w:rsidRPr="004371F9">
        <w:rPr>
          <w:sz w:val="36"/>
          <w:szCs w:val="36"/>
        </w:rPr>
        <w:t>So</w:t>
      </w:r>
      <w:proofErr w:type="gramEnd"/>
      <w:r>
        <w:rPr>
          <w:sz w:val="36"/>
          <w:szCs w:val="36"/>
        </w:rPr>
        <w:t xml:space="preserve"> </w:t>
      </w:r>
      <w:r w:rsidRPr="004371F9">
        <w:rPr>
          <w:sz w:val="36"/>
          <w:szCs w:val="36"/>
        </w:rPr>
        <w:t>clear it’s unclear</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Habit</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Limiting beliefs</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Thinking the problem is not a problem</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Not interested in not making money</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Set mindset—older agents, generational cultural, “not me” attitudes</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Agents not engaged—just there to get credit</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 xml:space="preserve">Bring </w:t>
      </w:r>
      <w:r>
        <w:rPr>
          <w:sz w:val="36"/>
          <w:szCs w:val="36"/>
        </w:rPr>
        <w:t>biases</w:t>
      </w:r>
      <w:r w:rsidRPr="004371F9">
        <w:rPr>
          <w:sz w:val="36"/>
          <w:szCs w:val="36"/>
        </w:rPr>
        <w:t xml:space="preserve"> out</w:t>
      </w:r>
      <w:r>
        <w:rPr>
          <w:sz w:val="36"/>
          <w:szCs w:val="36"/>
        </w:rPr>
        <w:t xml:space="preserve"> into the “light”</w:t>
      </w:r>
    </w:p>
    <w:p w:rsidR="00953AAE" w:rsidRPr="004371F9" w:rsidRDefault="00953AAE" w:rsidP="00953AAE">
      <w:pPr>
        <w:pStyle w:val="ListParagraph"/>
        <w:numPr>
          <w:ilvl w:val="0"/>
          <w:numId w:val="43"/>
        </w:numPr>
        <w:spacing w:after="160" w:line="259" w:lineRule="auto"/>
        <w:rPr>
          <w:sz w:val="36"/>
          <w:szCs w:val="36"/>
        </w:rPr>
      </w:pPr>
      <w:r w:rsidRPr="004371F9">
        <w:rPr>
          <w:sz w:val="36"/>
          <w:szCs w:val="36"/>
        </w:rPr>
        <w:t xml:space="preserve">Today once accused, </w:t>
      </w:r>
      <w:r>
        <w:rPr>
          <w:sz w:val="36"/>
          <w:szCs w:val="36"/>
        </w:rPr>
        <w:t xml:space="preserve">we are </w:t>
      </w:r>
      <w:r w:rsidRPr="004371F9">
        <w:rPr>
          <w:sz w:val="36"/>
          <w:szCs w:val="36"/>
        </w:rPr>
        <w:t>guilty until proven innocent</w:t>
      </w:r>
    </w:p>
    <w:p w:rsidR="00953AAE" w:rsidRPr="009843EE" w:rsidRDefault="00953AAE" w:rsidP="00953AAE">
      <w:pPr>
        <w:pStyle w:val="ListParagraph"/>
        <w:numPr>
          <w:ilvl w:val="0"/>
          <w:numId w:val="43"/>
        </w:numPr>
        <w:spacing w:after="160" w:line="259" w:lineRule="auto"/>
        <w:rPr>
          <w:sz w:val="36"/>
          <w:szCs w:val="36"/>
        </w:rPr>
      </w:pPr>
      <w:r w:rsidRPr="004371F9">
        <w:rPr>
          <w:sz w:val="36"/>
          <w:szCs w:val="36"/>
        </w:rPr>
        <w:t xml:space="preserve">Sensitive </w:t>
      </w:r>
      <w:r>
        <w:rPr>
          <w:sz w:val="36"/>
          <w:szCs w:val="36"/>
        </w:rPr>
        <w:t xml:space="preserve">topic - </w:t>
      </w:r>
      <w:r w:rsidRPr="004371F9">
        <w:rPr>
          <w:sz w:val="36"/>
          <w:szCs w:val="36"/>
        </w:rPr>
        <w:t>defensive when teaching</w:t>
      </w:r>
    </w:p>
    <w:p w:rsidR="00953AAE" w:rsidRPr="004371F9" w:rsidRDefault="00953AAE" w:rsidP="00953AAE">
      <w:pPr>
        <w:pStyle w:val="ListParagraph"/>
        <w:numPr>
          <w:ilvl w:val="0"/>
          <w:numId w:val="43"/>
        </w:numPr>
        <w:spacing w:after="160" w:line="259" w:lineRule="auto"/>
        <w:rPr>
          <w:sz w:val="36"/>
          <w:szCs w:val="36"/>
        </w:rPr>
      </w:pPr>
      <w:r>
        <w:rPr>
          <w:sz w:val="36"/>
          <w:szCs w:val="36"/>
        </w:rPr>
        <w:t>Offending people u</w:t>
      </w:r>
      <w:r w:rsidRPr="004371F9">
        <w:rPr>
          <w:sz w:val="36"/>
          <w:szCs w:val="36"/>
        </w:rPr>
        <w:t>nintentional</w:t>
      </w:r>
      <w:r>
        <w:rPr>
          <w:sz w:val="36"/>
          <w:szCs w:val="36"/>
        </w:rPr>
        <w:t xml:space="preserve">ly without meaning to </w:t>
      </w:r>
    </w:p>
    <w:p w:rsidR="00953AAE" w:rsidRDefault="00953AAE" w:rsidP="00953AAE"/>
    <w:p w:rsidR="00953AAE" w:rsidRDefault="00953AAE" w:rsidP="00953AAE"/>
    <w:p w:rsidR="00953AAE" w:rsidRDefault="00953AAE" w:rsidP="00F46680">
      <w:bookmarkStart w:id="157" w:name="_GoBack"/>
      <w:bookmarkEnd w:id="157"/>
    </w:p>
    <w:sectPr w:rsidR="00953AAE" w:rsidSect="004431F5">
      <w:type w:val="continuous"/>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B37" w:rsidRDefault="00A82B37" w:rsidP="00FB3756">
      <w:r>
        <w:separator/>
      </w:r>
    </w:p>
  </w:endnote>
  <w:endnote w:type="continuationSeparator" w:id="0">
    <w:p w:rsidR="00A82B37" w:rsidRDefault="00A82B37" w:rsidP="00FB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linga">
    <w:altName w:val="Kalinga"/>
    <w:charset w:val="00"/>
    <w:family w:val="swiss"/>
    <w:pitch w:val="variable"/>
    <w:sig w:usb0="00080003" w:usb1="00000000" w:usb2="00000000" w:usb3="00000000" w:csb0="00000001"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2C09" w:rsidRPr="00D60C9D" w:rsidRDefault="00C42C09" w:rsidP="00C42C09">
    <w:pPr>
      <w:spacing w:line="245" w:lineRule="exact"/>
      <w:rPr>
        <w:rFonts w:ascii="Calibri"/>
        <w:sz w:val="22"/>
        <w:szCs w:val="22"/>
      </w:rPr>
    </w:pPr>
    <w:r w:rsidRPr="00D60C9D">
      <w:rPr>
        <w:sz w:val="22"/>
        <w:szCs w:val="22"/>
      </w:rPr>
      <w:t xml:space="preserve">2020 Mandatory: Fair Housing and Cultural Diversity </w:t>
    </w:r>
    <w:r>
      <w:rPr>
        <w:sz w:val="22"/>
        <w:szCs w:val="22"/>
      </w:rPr>
      <w:t>–</w:t>
    </w:r>
    <w:r w:rsidRPr="00D60C9D">
      <w:rPr>
        <w:sz w:val="22"/>
        <w:szCs w:val="22"/>
      </w:rPr>
      <w:t xml:space="preserve"> </w:t>
    </w:r>
    <w:r>
      <w:rPr>
        <w:sz w:val="22"/>
        <w:szCs w:val="22"/>
      </w:rPr>
      <w:t xml:space="preserve">Instructor </w:t>
    </w:r>
    <w:r w:rsidRPr="00D60C9D">
      <w:rPr>
        <w:sz w:val="22"/>
        <w:szCs w:val="22"/>
      </w:rPr>
      <w:t xml:space="preserve">Manual </w:t>
    </w:r>
    <w:r>
      <w:rPr>
        <w:sz w:val="22"/>
        <w:szCs w:val="22"/>
      </w:rPr>
      <w:t xml:space="preserve">  </w:t>
    </w:r>
    <w:r w:rsidRPr="00D60C9D">
      <w:rPr>
        <w:sz w:val="22"/>
        <w:szCs w:val="22"/>
      </w:rPr>
      <w:tab/>
    </w:r>
    <w:r>
      <w:rPr>
        <w:sz w:val="22"/>
        <w:szCs w:val="22"/>
      </w:rPr>
      <w:t xml:space="preserve">    </w:t>
    </w:r>
    <w:r>
      <w:rPr>
        <w:sz w:val="22"/>
        <w:szCs w:val="22"/>
      </w:rPr>
      <w:tab/>
      <w:t xml:space="preserve">                        </w:t>
    </w:r>
    <w:r w:rsidRPr="00D60C9D">
      <w:rPr>
        <w:sz w:val="22"/>
        <w:szCs w:val="22"/>
      </w:rPr>
      <w:fldChar w:fldCharType="begin"/>
    </w:r>
    <w:r w:rsidRPr="00D60C9D">
      <w:rPr>
        <w:rFonts w:ascii="Calibri"/>
        <w:sz w:val="22"/>
        <w:szCs w:val="22"/>
      </w:rPr>
      <w:instrText xml:space="preserve"> PAGE </w:instrText>
    </w:r>
    <w:r w:rsidRPr="00D60C9D">
      <w:rPr>
        <w:sz w:val="22"/>
        <w:szCs w:val="22"/>
      </w:rPr>
      <w:fldChar w:fldCharType="separate"/>
    </w:r>
    <w:r>
      <w:rPr>
        <w:sz w:val="22"/>
        <w:szCs w:val="22"/>
      </w:rPr>
      <w:t>2</w:t>
    </w:r>
    <w:r w:rsidRPr="00D60C9D">
      <w:rPr>
        <w:sz w:val="22"/>
        <w:szCs w:val="22"/>
      </w:rPr>
      <w:fldChar w:fldCharType="end"/>
    </w:r>
  </w:p>
  <w:p w:rsidR="00A468FC" w:rsidRDefault="00A468FC" w:rsidP="006031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03E" w:rsidRPr="00D60C9D" w:rsidRDefault="00B5503E" w:rsidP="00B5503E">
    <w:pPr>
      <w:spacing w:line="245" w:lineRule="exact"/>
      <w:rPr>
        <w:rFonts w:ascii="Calibri"/>
        <w:sz w:val="22"/>
        <w:szCs w:val="22"/>
      </w:rPr>
    </w:pPr>
    <w:r w:rsidRPr="00D60C9D">
      <w:rPr>
        <w:sz w:val="22"/>
        <w:szCs w:val="22"/>
      </w:rPr>
      <w:t xml:space="preserve">2020 Mandatory: Fair Housing and Cultural Diversity </w:t>
    </w:r>
    <w:r>
      <w:rPr>
        <w:sz w:val="22"/>
        <w:szCs w:val="22"/>
      </w:rPr>
      <w:t>–</w:t>
    </w:r>
    <w:r w:rsidRPr="00D60C9D">
      <w:rPr>
        <w:sz w:val="22"/>
        <w:szCs w:val="22"/>
      </w:rPr>
      <w:t xml:space="preserve"> </w:t>
    </w:r>
    <w:r>
      <w:rPr>
        <w:sz w:val="22"/>
        <w:szCs w:val="22"/>
      </w:rPr>
      <w:t xml:space="preserve">Instructor </w:t>
    </w:r>
    <w:r w:rsidRPr="00D60C9D">
      <w:rPr>
        <w:sz w:val="22"/>
        <w:szCs w:val="22"/>
      </w:rPr>
      <w:t xml:space="preserve">Manual </w:t>
    </w:r>
    <w:r>
      <w:rPr>
        <w:sz w:val="22"/>
        <w:szCs w:val="22"/>
      </w:rPr>
      <w:t xml:space="preserve">  </w:t>
    </w:r>
    <w:r w:rsidRPr="00D60C9D">
      <w:rPr>
        <w:sz w:val="22"/>
        <w:szCs w:val="22"/>
      </w:rPr>
      <w:tab/>
    </w:r>
    <w:r>
      <w:rPr>
        <w:sz w:val="22"/>
        <w:szCs w:val="22"/>
      </w:rPr>
      <w:t xml:space="preserve">    </w:t>
    </w:r>
    <w:r>
      <w:rPr>
        <w:sz w:val="22"/>
        <w:szCs w:val="22"/>
      </w:rPr>
      <w:tab/>
      <w:t xml:space="preserve">                        </w:t>
    </w:r>
    <w:r w:rsidRPr="00D60C9D">
      <w:rPr>
        <w:sz w:val="22"/>
        <w:szCs w:val="22"/>
      </w:rPr>
      <w:fldChar w:fldCharType="begin"/>
    </w:r>
    <w:r w:rsidRPr="00D60C9D">
      <w:rPr>
        <w:rFonts w:ascii="Calibri"/>
        <w:sz w:val="22"/>
        <w:szCs w:val="22"/>
      </w:rPr>
      <w:instrText xml:space="preserve"> PAGE </w:instrText>
    </w:r>
    <w:r w:rsidRPr="00D60C9D">
      <w:rPr>
        <w:sz w:val="22"/>
        <w:szCs w:val="22"/>
      </w:rPr>
      <w:fldChar w:fldCharType="separate"/>
    </w:r>
    <w:r>
      <w:t>32</w:t>
    </w:r>
    <w:r w:rsidRPr="00D60C9D">
      <w:rPr>
        <w:sz w:val="22"/>
        <w:szCs w:val="22"/>
      </w:rPr>
      <w:fldChar w:fldCharType="end"/>
    </w:r>
    <w:r>
      <w:rP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03E" w:rsidRPr="00D60C9D" w:rsidRDefault="00B5503E" w:rsidP="00B5503E">
    <w:pPr>
      <w:spacing w:line="245" w:lineRule="exact"/>
      <w:rPr>
        <w:rFonts w:ascii="Calibri"/>
        <w:sz w:val="22"/>
        <w:szCs w:val="22"/>
      </w:rPr>
    </w:pPr>
    <w:r w:rsidRPr="00D60C9D">
      <w:rPr>
        <w:sz w:val="22"/>
        <w:szCs w:val="22"/>
      </w:rPr>
      <w:t xml:space="preserve">2020 Mandatory: Fair Housing and Cultural Diversity </w:t>
    </w:r>
    <w:r>
      <w:rPr>
        <w:sz w:val="22"/>
        <w:szCs w:val="22"/>
      </w:rPr>
      <w:t>–</w:t>
    </w:r>
    <w:r w:rsidRPr="00D60C9D">
      <w:rPr>
        <w:sz w:val="22"/>
        <w:szCs w:val="22"/>
      </w:rPr>
      <w:t xml:space="preserve"> </w:t>
    </w:r>
    <w:r>
      <w:rPr>
        <w:sz w:val="22"/>
        <w:szCs w:val="22"/>
      </w:rPr>
      <w:t xml:space="preserve">Instructor </w:t>
    </w:r>
    <w:r w:rsidRPr="00D60C9D">
      <w:rPr>
        <w:sz w:val="22"/>
        <w:szCs w:val="22"/>
      </w:rPr>
      <w:t xml:space="preserve">Manual </w:t>
    </w:r>
    <w:r>
      <w:rPr>
        <w:sz w:val="22"/>
        <w:szCs w:val="22"/>
      </w:rPr>
      <w:t xml:space="preserve">  </w:t>
    </w:r>
    <w:r w:rsidRPr="00D60C9D">
      <w:rPr>
        <w:sz w:val="22"/>
        <w:szCs w:val="22"/>
      </w:rPr>
      <w:tab/>
    </w:r>
    <w:r>
      <w:rPr>
        <w:sz w:val="22"/>
        <w:szCs w:val="22"/>
      </w:rPr>
      <w:t xml:space="preserve">    </w:t>
    </w:r>
    <w:r>
      <w:rPr>
        <w:sz w:val="22"/>
        <w:szCs w:val="22"/>
      </w:rPr>
      <w:tab/>
      <w:t xml:space="preserve">                        </w:t>
    </w:r>
    <w:r w:rsidRPr="00D60C9D">
      <w:rPr>
        <w:sz w:val="22"/>
        <w:szCs w:val="22"/>
      </w:rPr>
      <w:fldChar w:fldCharType="begin"/>
    </w:r>
    <w:r w:rsidRPr="00D60C9D">
      <w:rPr>
        <w:rFonts w:ascii="Calibri"/>
        <w:sz w:val="22"/>
        <w:szCs w:val="22"/>
      </w:rPr>
      <w:instrText xml:space="preserve"> PAGE </w:instrText>
    </w:r>
    <w:r w:rsidRPr="00D60C9D">
      <w:rPr>
        <w:sz w:val="22"/>
        <w:szCs w:val="22"/>
      </w:rPr>
      <w:fldChar w:fldCharType="separate"/>
    </w:r>
    <w:r>
      <w:t>32</w:t>
    </w:r>
    <w:r w:rsidRPr="00D60C9D">
      <w:rP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03E" w:rsidRPr="00D60C9D" w:rsidRDefault="00B5503E" w:rsidP="00B5503E">
    <w:pPr>
      <w:spacing w:line="245" w:lineRule="exact"/>
      <w:rPr>
        <w:rFonts w:ascii="Calibri"/>
        <w:sz w:val="22"/>
        <w:szCs w:val="22"/>
      </w:rPr>
    </w:pPr>
    <w:r w:rsidRPr="00D60C9D">
      <w:rPr>
        <w:sz w:val="22"/>
        <w:szCs w:val="22"/>
      </w:rPr>
      <w:t xml:space="preserve">2020 Mandatory: Fair Housing and Cultural Diversity </w:t>
    </w:r>
    <w:r>
      <w:rPr>
        <w:sz w:val="22"/>
        <w:szCs w:val="22"/>
      </w:rPr>
      <w:t>–</w:t>
    </w:r>
    <w:r w:rsidRPr="00D60C9D">
      <w:rPr>
        <w:sz w:val="22"/>
        <w:szCs w:val="22"/>
      </w:rPr>
      <w:t xml:space="preserve"> </w:t>
    </w:r>
    <w:r>
      <w:rPr>
        <w:sz w:val="22"/>
        <w:szCs w:val="22"/>
      </w:rPr>
      <w:t xml:space="preserve">Instructor </w:t>
    </w:r>
    <w:r w:rsidRPr="00D60C9D">
      <w:rPr>
        <w:sz w:val="22"/>
        <w:szCs w:val="22"/>
      </w:rPr>
      <w:t xml:space="preserve">Manual </w:t>
    </w:r>
    <w:r>
      <w:rPr>
        <w:sz w:val="22"/>
        <w:szCs w:val="22"/>
      </w:rPr>
      <w:t xml:space="preserve">  </w:t>
    </w:r>
    <w:r w:rsidRPr="00D60C9D">
      <w:rPr>
        <w:sz w:val="22"/>
        <w:szCs w:val="22"/>
      </w:rPr>
      <w:tab/>
    </w:r>
    <w:r>
      <w:rPr>
        <w:sz w:val="22"/>
        <w:szCs w:val="22"/>
      </w:rPr>
      <w:t xml:space="preserve">    </w:t>
    </w:r>
    <w:r>
      <w:rPr>
        <w:sz w:val="22"/>
        <w:szCs w:val="22"/>
      </w:rPr>
      <w:tab/>
      <w:t xml:space="preserve">                        </w:t>
    </w:r>
    <w:r w:rsidRPr="00D60C9D">
      <w:rPr>
        <w:sz w:val="22"/>
        <w:szCs w:val="22"/>
      </w:rPr>
      <w:fldChar w:fldCharType="begin"/>
    </w:r>
    <w:r w:rsidRPr="00D60C9D">
      <w:rPr>
        <w:rFonts w:ascii="Calibri"/>
        <w:sz w:val="22"/>
        <w:szCs w:val="22"/>
      </w:rPr>
      <w:instrText xml:space="preserve"> PAGE </w:instrText>
    </w:r>
    <w:r w:rsidRPr="00D60C9D">
      <w:rPr>
        <w:sz w:val="22"/>
        <w:szCs w:val="22"/>
      </w:rPr>
      <w:fldChar w:fldCharType="separate"/>
    </w:r>
    <w:r>
      <w:t>32</w:t>
    </w:r>
    <w:r w:rsidRPr="00D60C9D">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B37" w:rsidRDefault="00A82B37" w:rsidP="00FB3756">
      <w:r>
        <w:separator/>
      </w:r>
    </w:p>
  </w:footnote>
  <w:footnote w:type="continuationSeparator" w:id="0">
    <w:p w:rsidR="00A82B37" w:rsidRDefault="00A82B37" w:rsidP="00FB3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8FC" w:rsidRDefault="00A468FC">
    <w:pPr>
      <w:widowControl w:val="0"/>
      <w:autoSpaceDE w:val="0"/>
      <w:autoSpaceDN w:val="0"/>
      <w:adjustRightInd w:val="0"/>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5771"/>
    <w:multiLevelType w:val="hybridMultilevel"/>
    <w:tmpl w:val="B72CB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EDBDAB"/>
    <w:multiLevelType w:val="hybridMultilevel"/>
    <w:tmpl w:val="194250AA"/>
    <w:lvl w:ilvl="0" w:tplc="E8F6CF40">
      <w:start w:val="3"/>
      <w:numFmt w:val="lowerLetter"/>
      <w:lvlText w:val="%1)"/>
      <w:lvlJc w:val="left"/>
    </w:lvl>
    <w:lvl w:ilvl="1" w:tplc="77046FB2">
      <w:numFmt w:val="decimal"/>
      <w:lvlText w:val=""/>
      <w:lvlJc w:val="left"/>
    </w:lvl>
    <w:lvl w:ilvl="2" w:tplc="6B10B88E">
      <w:numFmt w:val="decimal"/>
      <w:lvlText w:val=""/>
      <w:lvlJc w:val="left"/>
    </w:lvl>
    <w:lvl w:ilvl="3" w:tplc="8E282022">
      <w:numFmt w:val="decimal"/>
      <w:lvlText w:val=""/>
      <w:lvlJc w:val="left"/>
    </w:lvl>
    <w:lvl w:ilvl="4" w:tplc="FD6E166E">
      <w:numFmt w:val="decimal"/>
      <w:lvlText w:val=""/>
      <w:lvlJc w:val="left"/>
    </w:lvl>
    <w:lvl w:ilvl="5" w:tplc="F19ED5D8">
      <w:numFmt w:val="decimal"/>
      <w:lvlText w:val=""/>
      <w:lvlJc w:val="left"/>
    </w:lvl>
    <w:lvl w:ilvl="6" w:tplc="42C6F9FA">
      <w:numFmt w:val="decimal"/>
      <w:lvlText w:val=""/>
      <w:lvlJc w:val="left"/>
    </w:lvl>
    <w:lvl w:ilvl="7" w:tplc="A0C8C348">
      <w:numFmt w:val="decimal"/>
      <w:lvlText w:val=""/>
      <w:lvlJc w:val="left"/>
    </w:lvl>
    <w:lvl w:ilvl="8" w:tplc="430EF06C">
      <w:numFmt w:val="decimal"/>
      <w:lvlText w:val=""/>
      <w:lvlJc w:val="left"/>
    </w:lvl>
  </w:abstractNum>
  <w:abstractNum w:abstractNumId="2" w15:restartNumberingAfterBreak="0">
    <w:nsid w:val="0F69601E"/>
    <w:multiLevelType w:val="hybridMultilevel"/>
    <w:tmpl w:val="518CE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21704D"/>
    <w:multiLevelType w:val="hybridMultilevel"/>
    <w:tmpl w:val="F15E4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3A"/>
    <w:multiLevelType w:val="hybridMultilevel"/>
    <w:tmpl w:val="53FC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EFD79F"/>
    <w:multiLevelType w:val="hybridMultilevel"/>
    <w:tmpl w:val="776AAE00"/>
    <w:lvl w:ilvl="0" w:tplc="A25C564C">
      <w:start w:val="61"/>
      <w:numFmt w:val="upperLetter"/>
      <w:lvlText w:val="%1."/>
      <w:lvlJc w:val="left"/>
    </w:lvl>
    <w:lvl w:ilvl="1" w:tplc="F5E4ECFC">
      <w:numFmt w:val="decimal"/>
      <w:lvlText w:val=""/>
      <w:lvlJc w:val="left"/>
    </w:lvl>
    <w:lvl w:ilvl="2" w:tplc="1C6E1C3A">
      <w:numFmt w:val="decimal"/>
      <w:lvlText w:val=""/>
      <w:lvlJc w:val="left"/>
    </w:lvl>
    <w:lvl w:ilvl="3" w:tplc="6172B71A">
      <w:numFmt w:val="decimal"/>
      <w:lvlText w:val=""/>
      <w:lvlJc w:val="left"/>
    </w:lvl>
    <w:lvl w:ilvl="4" w:tplc="DEDE771E">
      <w:numFmt w:val="decimal"/>
      <w:lvlText w:val=""/>
      <w:lvlJc w:val="left"/>
    </w:lvl>
    <w:lvl w:ilvl="5" w:tplc="3D3229DA">
      <w:numFmt w:val="decimal"/>
      <w:lvlText w:val=""/>
      <w:lvlJc w:val="left"/>
    </w:lvl>
    <w:lvl w:ilvl="6" w:tplc="05FE33FA">
      <w:numFmt w:val="decimal"/>
      <w:lvlText w:val=""/>
      <w:lvlJc w:val="left"/>
    </w:lvl>
    <w:lvl w:ilvl="7" w:tplc="8E6ADB5A">
      <w:numFmt w:val="decimal"/>
      <w:lvlText w:val=""/>
      <w:lvlJc w:val="left"/>
    </w:lvl>
    <w:lvl w:ilvl="8" w:tplc="B448D844">
      <w:numFmt w:val="decimal"/>
      <w:lvlText w:val=""/>
      <w:lvlJc w:val="left"/>
    </w:lvl>
  </w:abstractNum>
  <w:abstractNum w:abstractNumId="6" w15:restartNumberingAfterBreak="0">
    <w:nsid w:val="22F26669"/>
    <w:multiLevelType w:val="hybridMultilevel"/>
    <w:tmpl w:val="2A1A95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443A858"/>
    <w:multiLevelType w:val="hybridMultilevel"/>
    <w:tmpl w:val="D542C34A"/>
    <w:lvl w:ilvl="0" w:tplc="6524876E">
      <w:start w:val="3"/>
      <w:numFmt w:val="decimal"/>
      <w:lvlText w:val="%1."/>
      <w:lvlJc w:val="left"/>
    </w:lvl>
    <w:lvl w:ilvl="1" w:tplc="11C29CA0">
      <w:numFmt w:val="decimal"/>
      <w:lvlText w:val=""/>
      <w:lvlJc w:val="left"/>
    </w:lvl>
    <w:lvl w:ilvl="2" w:tplc="5686C8FE">
      <w:numFmt w:val="decimal"/>
      <w:lvlText w:val=""/>
      <w:lvlJc w:val="left"/>
    </w:lvl>
    <w:lvl w:ilvl="3" w:tplc="6640383A">
      <w:numFmt w:val="decimal"/>
      <w:lvlText w:val=""/>
      <w:lvlJc w:val="left"/>
    </w:lvl>
    <w:lvl w:ilvl="4" w:tplc="76E6C36A">
      <w:numFmt w:val="decimal"/>
      <w:lvlText w:val=""/>
      <w:lvlJc w:val="left"/>
    </w:lvl>
    <w:lvl w:ilvl="5" w:tplc="5F883A76">
      <w:numFmt w:val="decimal"/>
      <w:lvlText w:val=""/>
      <w:lvlJc w:val="left"/>
    </w:lvl>
    <w:lvl w:ilvl="6" w:tplc="299CADDA">
      <w:numFmt w:val="decimal"/>
      <w:lvlText w:val=""/>
      <w:lvlJc w:val="left"/>
    </w:lvl>
    <w:lvl w:ilvl="7" w:tplc="F0BCDFBE">
      <w:numFmt w:val="decimal"/>
      <w:lvlText w:val=""/>
      <w:lvlJc w:val="left"/>
    </w:lvl>
    <w:lvl w:ilvl="8" w:tplc="FFCCDF36">
      <w:numFmt w:val="decimal"/>
      <w:lvlText w:val=""/>
      <w:lvlJc w:val="left"/>
    </w:lvl>
  </w:abstractNum>
  <w:abstractNum w:abstractNumId="8" w15:restartNumberingAfterBreak="0">
    <w:nsid w:val="257130A3"/>
    <w:multiLevelType w:val="hybridMultilevel"/>
    <w:tmpl w:val="E2EE622C"/>
    <w:lvl w:ilvl="0" w:tplc="8F66B1BE">
      <w:start w:val="8"/>
      <w:numFmt w:val="decimal"/>
      <w:lvlText w:val="%1"/>
      <w:lvlJc w:val="left"/>
    </w:lvl>
    <w:lvl w:ilvl="1" w:tplc="33AA7908">
      <w:numFmt w:val="decimal"/>
      <w:lvlText w:val=""/>
      <w:lvlJc w:val="left"/>
    </w:lvl>
    <w:lvl w:ilvl="2" w:tplc="862CAE40">
      <w:numFmt w:val="decimal"/>
      <w:lvlText w:val=""/>
      <w:lvlJc w:val="left"/>
    </w:lvl>
    <w:lvl w:ilvl="3" w:tplc="6E2CE80E">
      <w:numFmt w:val="decimal"/>
      <w:lvlText w:val=""/>
      <w:lvlJc w:val="left"/>
    </w:lvl>
    <w:lvl w:ilvl="4" w:tplc="F896409A">
      <w:numFmt w:val="decimal"/>
      <w:lvlText w:val=""/>
      <w:lvlJc w:val="left"/>
    </w:lvl>
    <w:lvl w:ilvl="5" w:tplc="BE323AD6">
      <w:numFmt w:val="decimal"/>
      <w:lvlText w:val=""/>
      <w:lvlJc w:val="left"/>
    </w:lvl>
    <w:lvl w:ilvl="6" w:tplc="7C82E3EC">
      <w:numFmt w:val="decimal"/>
      <w:lvlText w:val=""/>
      <w:lvlJc w:val="left"/>
    </w:lvl>
    <w:lvl w:ilvl="7" w:tplc="57D029E0">
      <w:numFmt w:val="decimal"/>
      <w:lvlText w:val=""/>
      <w:lvlJc w:val="left"/>
    </w:lvl>
    <w:lvl w:ilvl="8" w:tplc="DB98D694">
      <w:numFmt w:val="decimal"/>
      <w:lvlText w:val=""/>
      <w:lvlJc w:val="left"/>
    </w:lvl>
  </w:abstractNum>
  <w:abstractNum w:abstractNumId="9" w15:restartNumberingAfterBreak="0">
    <w:nsid w:val="26607763"/>
    <w:multiLevelType w:val="hybridMultilevel"/>
    <w:tmpl w:val="DBF60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8658F"/>
    <w:multiLevelType w:val="hybridMultilevel"/>
    <w:tmpl w:val="C4F22A80"/>
    <w:lvl w:ilvl="0" w:tplc="04090019">
      <w:start w:val="1"/>
      <w:numFmt w:val="lowerLetter"/>
      <w:lvlText w:val="%1."/>
      <w:lvlJc w:val="left"/>
      <w:pPr>
        <w:ind w:left="1440" w:hanging="360"/>
      </w:pPr>
      <w:rPr>
        <w:rFonts w:hint="default"/>
      </w:rPr>
    </w:lvl>
    <w:lvl w:ilvl="1" w:tplc="E7065182">
      <w:start w:val="1"/>
      <w:numFmt w:val="lowerLetter"/>
      <w:lvlText w:val="%2."/>
      <w:lvlJc w:val="left"/>
      <w:pPr>
        <w:ind w:left="2160" w:hanging="360"/>
      </w:pPr>
      <w:rPr>
        <w:rFonts w:asciiTheme="minorHAnsi" w:eastAsiaTheme="minorEastAsia" w:hAnsiTheme="minorHAnsi" w:cstheme="minorBidi"/>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1D5AE9"/>
    <w:multiLevelType w:val="hybridMultilevel"/>
    <w:tmpl w:val="CFEC20D6"/>
    <w:lvl w:ilvl="0" w:tplc="090C6622">
      <w:start w:val="15"/>
      <w:numFmt w:val="decimal"/>
      <w:lvlText w:val="%1"/>
      <w:lvlJc w:val="left"/>
    </w:lvl>
    <w:lvl w:ilvl="1" w:tplc="AE5C9662">
      <w:numFmt w:val="decimal"/>
      <w:lvlText w:val=""/>
      <w:lvlJc w:val="left"/>
    </w:lvl>
    <w:lvl w:ilvl="2" w:tplc="D4C666DC">
      <w:numFmt w:val="decimal"/>
      <w:lvlText w:val=""/>
      <w:lvlJc w:val="left"/>
    </w:lvl>
    <w:lvl w:ilvl="3" w:tplc="631CC498">
      <w:numFmt w:val="decimal"/>
      <w:lvlText w:val=""/>
      <w:lvlJc w:val="left"/>
    </w:lvl>
    <w:lvl w:ilvl="4" w:tplc="822C707A">
      <w:numFmt w:val="decimal"/>
      <w:lvlText w:val=""/>
      <w:lvlJc w:val="left"/>
    </w:lvl>
    <w:lvl w:ilvl="5" w:tplc="59B01C26">
      <w:numFmt w:val="decimal"/>
      <w:lvlText w:val=""/>
      <w:lvlJc w:val="left"/>
    </w:lvl>
    <w:lvl w:ilvl="6" w:tplc="2C88DC8E">
      <w:numFmt w:val="decimal"/>
      <w:lvlText w:val=""/>
      <w:lvlJc w:val="left"/>
    </w:lvl>
    <w:lvl w:ilvl="7" w:tplc="F07ECFF8">
      <w:numFmt w:val="decimal"/>
      <w:lvlText w:val=""/>
      <w:lvlJc w:val="left"/>
    </w:lvl>
    <w:lvl w:ilvl="8" w:tplc="FCD63F1C">
      <w:numFmt w:val="decimal"/>
      <w:lvlText w:val=""/>
      <w:lvlJc w:val="left"/>
    </w:lvl>
  </w:abstractNum>
  <w:abstractNum w:abstractNumId="12" w15:restartNumberingAfterBreak="0">
    <w:nsid w:val="2DD50BCA"/>
    <w:multiLevelType w:val="hybridMultilevel"/>
    <w:tmpl w:val="FA4E0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F11515"/>
    <w:multiLevelType w:val="hybridMultilevel"/>
    <w:tmpl w:val="DDC6B972"/>
    <w:lvl w:ilvl="0" w:tplc="0409000B">
      <w:start w:val="1"/>
      <w:numFmt w:val="bullet"/>
      <w:lvlText w:val=""/>
      <w:lvlJc w:val="left"/>
      <w:rPr>
        <w:rFonts w:ascii="Wingdings" w:hAnsi="Wingdings" w:hint="default"/>
      </w:rPr>
    </w:lvl>
    <w:lvl w:ilvl="1" w:tplc="0409000B">
      <w:start w:val="1"/>
      <w:numFmt w:val="bullet"/>
      <w:lvlText w:val=""/>
      <w:lvlJc w:val="left"/>
      <w:rPr>
        <w:rFonts w:ascii="Wingdings" w:hAnsi="Wingdings" w:hint="default"/>
      </w:rPr>
    </w:lvl>
    <w:lvl w:ilvl="2" w:tplc="003ECCB8">
      <w:numFmt w:val="decimal"/>
      <w:lvlText w:val=""/>
      <w:lvlJc w:val="left"/>
    </w:lvl>
    <w:lvl w:ilvl="3" w:tplc="59B29AE2">
      <w:numFmt w:val="decimal"/>
      <w:lvlText w:val=""/>
      <w:lvlJc w:val="left"/>
    </w:lvl>
    <w:lvl w:ilvl="4" w:tplc="6930D426">
      <w:numFmt w:val="decimal"/>
      <w:lvlText w:val=""/>
      <w:lvlJc w:val="left"/>
    </w:lvl>
    <w:lvl w:ilvl="5" w:tplc="603AEF4C">
      <w:numFmt w:val="decimal"/>
      <w:lvlText w:val=""/>
      <w:lvlJc w:val="left"/>
    </w:lvl>
    <w:lvl w:ilvl="6" w:tplc="B8BA35DA">
      <w:numFmt w:val="decimal"/>
      <w:lvlText w:val=""/>
      <w:lvlJc w:val="left"/>
    </w:lvl>
    <w:lvl w:ilvl="7" w:tplc="4342B62A">
      <w:numFmt w:val="decimal"/>
      <w:lvlText w:val=""/>
      <w:lvlJc w:val="left"/>
    </w:lvl>
    <w:lvl w:ilvl="8" w:tplc="FC22647A">
      <w:numFmt w:val="decimal"/>
      <w:lvlText w:val=""/>
      <w:lvlJc w:val="left"/>
    </w:lvl>
  </w:abstractNum>
  <w:abstractNum w:abstractNumId="14" w15:restartNumberingAfterBreak="0">
    <w:nsid w:val="3352255A"/>
    <w:multiLevelType w:val="hybridMultilevel"/>
    <w:tmpl w:val="0F3E0916"/>
    <w:lvl w:ilvl="0" w:tplc="DDD840AE">
      <w:start w:val="35"/>
      <w:numFmt w:val="upperLetter"/>
      <w:lvlText w:val="%1."/>
      <w:lvlJc w:val="left"/>
    </w:lvl>
    <w:lvl w:ilvl="1" w:tplc="A8C2AB08">
      <w:numFmt w:val="decimal"/>
      <w:lvlText w:val=""/>
      <w:lvlJc w:val="left"/>
    </w:lvl>
    <w:lvl w:ilvl="2" w:tplc="E3D28CDA">
      <w:numFmt w:val="decimal"/>
      <w:lvlText w:val=""/>
      <w:lvlJc w:val="left"/>
    </w:lvl>
    <w:lvl w:ilvl="3" w:tplc="01743664">
      <w:numFmt w:val="decimal"/>
      <w:lvlText w:val=""/>
      <w:lvlJc w:val="left"/>
    </w:lvl>
    <w:lvl w:ilvl="4" w:tplc="FBB4B9BC">
      <w:numFmt w:val="decimal"/>
      <w:lvlText w:val=""/>
      <w:lvlJc w:val="left"/>
    </w:lvl>
    <w:lvl w:ilvl="5" w:tplc="E94236BA">
      <w:numFmt w:val="decimal"/>
      <w:lvlText w:val=""/>
      <w:lvlJc w:val="left"/>
    </w:lvl>
    <w:lvl w:ilvl="6" w:tplc="FBF68EB8">
      <w:numFmt w:val="decimal"/>
      <w:lvlText w:val=""/>
      <w:lvlJc w:val="left"/>
    </w:lvl>
    <w:lvl w:ilvl="7" w:tplc="9978FCF8">
      <w:numFmt w:val="decimal"/>
      <w:lvlText w:val=""/>
      <w:lvlJc w:val="left"/>
    </w:lvl>
    <w:lvl w:ilvl="8" w:tplc="82A0D2E4">
      <w:numFmt w:val="decimal"/>
      <w:lvlText w:val=""/>
      <w:lvlJc w:val="left"/>
    </w:lvl>
  </w:abstractNum>
  <w:abstractNum w:abstractNumId="15" w15:restartNumberingAfterBreak="0">
    <w:nsid w:val="35D01806"/>
    <w:multiLevelType w:val="hybridMultilevel"/>
    <w:tmpl w:val="871A8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8D60A9"/>
    <w:multiLevelType w:val="hybridMultilevel"/>
    <w:tmpl w:val="DFE85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DBA31"/>
    <w:multiLevelType w:val="hybridMultilevel"/>
    <w:tmpl w:val="79122D72"/>
    <w:lvl w:ilvl="0" w:tplc="C74C2AC4">
      <w:start w:val="4"/>
      <w:numFmt w:val="decimal"/>
      <w:lvlText w:val="%1"/>
      <w:lvlJc w:val="left"/>
    </w:lvl>
    <w:lvl w:ilvl="1" w:tplc="2FF89908">
      <w:numFmt w:val="decimal"/>
      <w:lvlText w:val=""/>
      <w:lvlJc w:val="left"/>
    </w:lvl>
    <w:lvl w:ilvl="2" w:tplc="6C8A5A3C">
      <w:numFmt w:val="decimal"/>
      <w:lvlText w:val=""/>
      <w:lvlJc w:val="left"/>
    </w:lvl>
    <w:lvl w:ilvl="3" w:tplc="19C892E2">
      <w:numFmt w:val="decimal"/>
      <w:lvlText w:val=""/>
      <w:lvlJc w:val="left"/>
    </w:lvl>
    <w:lvl w:ilvl="4" w:tplc="6AC221A8">
      <w:numFmt w:val="decimal"/>
      <w:lvlText w:val=""/>
      <w:lvlJc w:val="left"/>
    </w:lvl>
    <w:lvl w:ilvl="5" w:tplc="A352061C">
      <w:numFmt w:val="decimal"/>
      <w:lvlText w:val=""/>
      <w:lvlJc w:val="left"/>
    </w:lvl>
    <w:lvl w:ilvl="6" w:tplc="AB101542">
      <w:numFmt w:val="decimal"/>
      <w:lvlText w:val=""/>
      <w:lvlJc w:val="left"/>
    </w:lvl>
    <w:lvl w:ilvl="7" w:tplc="DE2237E8">
      <w:numFmt w:val="decimal"/>
      <w:lvlText w:val=""/>
      <w:lvlJc w:val="left"/>
    </w:lvl>
    <w:lvl w:ilvl="8" w:tplc="2982B89E">
      <w:numFmt w:val="decimal"/>
      <w:lvlText w:val=""/>
      <w:lvlJc w:val="left"/>
    </w:lvl>
  </w:abstractNum>
  <w:abstractNum w:abstractNumId="18" w15:restartNumberingAfterBreak="0">
    <w:nsid w:val="431BD7B7"/>
    <w:multiLevelType w:val="hybridMultilevel"/>
    <w:tmpl w:val="CB3A1BB2"/>
    <w:lvl w:ilvl="0" w:tplc="DAB021C6">
      <w:start w:val="1"/>
      <w:numFmt w:val="decimal"/>
      <w:lvlText w:val="%1."/>
      <w:lvlJc w:val="left"/>
    </w:lvl>
    <w:lvl w:ilvl="1" w:tplc="0B96BF30">
      <w:numFmt w:val="decimal"/>
      <w:lvlText w:val=""/>
      <w:lvlJc w:val="left"/>
    </w:lvl>
    <w:lvl w:ilvl="2" w:tplc="36C443EC">
      <w:numFmt w:val="decimal"/>
      <w:lvlText w:val=""/>
      <w:lvlJc w:val="left"/>
    </w:lvl>
    <w:lvl w:ilvl="3" w:tplc="000074FC">
      <w:numFmt w:val="decimal"/>
      <w:lvlText w:val=""/>
      <w:lvlJc w:val="left"/>
    </w:lvl>
    <w:lvl w:ilvl="4" w:tplc="423C714A">
      <w:numFmt w:val="decimal"/>
      <w:lvlText w:val=""/>
      <w:lvlJc w:val="left"/>
    </w:lvl>
    <w:lvl w:ilvl="5" w:tplc="ABA8B8FA">
      <w:numFmt w:val="decimal"/>
      <w:lvlText w:val=""/>
      <w:lvlJc w:val="left"/>
    </w:lvl>
    <w:lvl w:ilvl="6" w:tplc="EA7E63F8">
      <w:numFmt w:val="decimal"/>
      <w:lvlText w:val=""/>
      <w:lvlJc w:val="left"/>
    </w:lvl>
    <w:lvl w:ilvl="7" w:tplc="7FEC155A">
      <w:numFmt w:val="decimal"/>
      <w:lvlText w:val=""/>
      <w:lvlJc w:val="left"/>
    </w:lvl>
    <w:lvl w:ilvl="8" w:tplc="96C6911C">
      <w:numFmt w:val="decimal"/>
      <w:lvlText w:val=""/>
      <w:lvlJc w:val="left"/>
    </w:lvl>
  </w:abstractNum>
  <w:abstractNum w:abstractNumId="19" w15:restartNumberingAfterBreak="0">
    <w:nsid w:val="436C6125"/>
    <w:multiLevelType w:val="hybridMultilevel"/>
    <w:tmpl w:val="C05CFF5A"/>
    <w:lvl w:ilvl="0" w:tplc="AC56D182">
      <w:start w:val="11"/>
      <w:numFmt w:val="decimal"/>
      <w:lvlText w:val="%1"/>
      <w:lvlJc w:val="left"/>
    </w:lvl>
    <w:lvl w:ilvl="1" w:tplc="14127F0C">
      <w:numFmt w:val="decimal"/>
      <w:lvlText w:val=""/>
      <w:lvlJc w:val="left"/>
    </w:lvl>
    <w:lvl w:ilvl="2" w:tplc="6B2AACC8">
      <w:numFmt w:val="decimal"/>
      <w:lvlText w:val=""/>
      <w:lvlJc w:val="left"/>
    </w:lvl>
    <w:lvl w:ilvl="3" w:tplc="F2BE23C6">
      <w:numFmt w:val="decimal"/>
      <w:lvlText w:val=""/>
      <w:lvlJc w:val="left"/>
    </w:lvl>
    <w:lvl w:ilvl="4" w:tplc="AFE44914">
      <w:numFmt w:val="decimal"/>
      <w:lvlText w:val=""/>
      <w:lvlJc w:val="left"/>
    </w:lvl>
    <w:lvl w:ilvl="5" w:tplc="1548B9C8">
      <w:numFmt w:val="decimal"/>
      <w:lvlText w:val=""/>
      <w:lvlJc w:val="left"/>
    </w:lvl>
    <w:lvl w:ilvl="6" w:tplc="BC42A71A">
      <w:numFmt w:val="decimal"/>
      <w:lvlText w:val=""/>
      <w:lvlJc w:val="left"/>
    </w:lvl>
    <w:lvl w:ilvl="7" w:tplc="2C3435EA">
      <w:numFmt w:val="decimal"/>
      <w:lvlText w:val=""/>
      <w:lvlJc w:val="left"/>
    </w:lvl>
    <w:lvl w:ilvl="8" w:tplc="BC5E0848">
      <w:numFmt w:val="decimal"/>
      <w:lvlText w:val=""/>
      <w:lvlJc w:val="left"/>
    </w:lvl>
  </w:abstractNum>
  <w:abstractNum w:abstractNumId="20" w15:restartNumberingAfterBreak="0">
    <w:nsid w:val="44430ECB"/>
    <w:multiLevelType w:val="hybridMultilevel"/>
    <w:tmpl w:val="2A62573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7967897"/>
    <w:multiLevelType w:val="hybridMultilevel"/>
    <w:tmpl w:val="11BCC9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AA272E5"/>
    <w:multiLevelType w:val="hybridMultilevel"/>
    <w:tmpl w:val="2C68EF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6AFB66"/>
    <w:multiLevelType w:val="hybridMultilevel"/>
    <w:tmpl w:val="DE04ED88"/>
    <w:lvl w:ilvl="0" w:tplc="089A8066">
      <w:start w:val="2"/>
      <w:numFmt w:val="decimal"/>
      <w:lvlText w:val="%1"/>
      <w:lvlJc w:val="left"/>
    </w:lvl>
    <w:lvl w:ilvl="1" w:tplc="279E1D82">
      <w:numFmt w:val="decimal"/>
      <w:lvlText w:val=""/>
      <w:lvlJc w:val="left"/>
    </w:lvl>
    <w:lvl w:ilvl="2" w:tplc="5E6CAB16">
      <w:numFmt w:val="decimal"/>
      <w:lvlText w:val=""/>
      <w:lvlJc w:val="left"/>
    </w:lvl>
    <w:lvl w:ilvl="3" w:tplc="D4E4B1D8">
      <w:numFmt w:val="decimal"/>
      <w:lvlText w:val=""/>
      <w:lvlJc w:val="left"/>
    </w:lvl>
    <w:lvl w:ilvl="4" w:tplc="3A74F24E">
      <w:numFmt w:val="decimal"/>
      <w:lvlText w:val=""/>
      <w:lvlJc w:val="left"/>
    </w:lvl>
    <w:lvl w:ilvl="5" w:tplc="543CE368">
      <w:numFmt w:val="decimal"/>
      <w:lvlText w:val=""/>
      <w:lvlJc w:val="left"/>
    </w:lvl>
    <w:lvl w:ilvl="6" w:tplc="A05EDADC">
      <w:numFmt w:val="decimal"/>
      <w:lvlText w:val=""/>
      <w:lvlJc w:val="left"/>
    </w:lvl>
    <w:lvl w:ilvl="7" w:tplc="D258F510">
      <w:numFmt w:val="decimal"/>
      <w:lvlText w:val=""/>
      <w:lvlJc w:val="left"/>
    </w:lvl>
    <w:lvl w:ilvl="8" w:tplc="1F183206">
      <w:numFmt w:val="decimal"/>
      <w:lvlText w:val=""/>
      <w:lvlJc w:val="left"/>
    </w:lvl>
  </w:abstractNum>
  <w:abstractNum w:abstractNumId="24" w15:restartNumberingAfterBreak="0">
    <w:nsid w:val="519B500D"/>
    <w:multiLevelType w:val="hybridMultilevel"/>
    <w:tmpl w:val="2D9AC1F0"/>
    <w:lvl w:ilvl="0" w:tplc="B00E8166">
      <w:start w:val="1"/>
      <w:numFmt w:val="lowerLetter"/>
      <w:lvlText w:val="%1)"/>
      <w:lvlJc w:val="left"/>
    </w:lvl>
    <w:lvl w:ilvl="1" w:tplc="86FE2B24">
      <w:numFmt w:val="decimal"/>
      <w:lvlText w:val=""/>
      <w:lvlJc w:val="left"/>
    </w:lvl>
    <w:lvl w:ilvl="2" w:tplc="739A4832">
      <w:numFmt w:val="decimal"/>
      <w:lvlText w:val=""/>
      <w:lvlJc w:val="left"/>
    </w:lvl>
    <w:lvl w:ilvl="3" w:tplc="2D54417E">
      <w:numFmt w:val="decimal"/>
      <w:lvlText w:val=""/>
      <w:lvlJc w:val="left"/>
    </w:lvl>
    <w:lvl w:ilvl="4" w:tplc="DFB49FA8">
      <w:numFmt w:val="decimal"/>
      <w:lvlText w:val=""/>
      <w:lvlJc w:val="left"/>
    </w:lvl>
    <w:lvl w:ilvl="5" w:tplc="9942272C">
      <w:numFmt w:val="decimal"/>
      <w:lvlText w:val=""/>
      <w:lvlJc w:val="left"/>
    </w:lvl>
    <w:lvl w:ilvl="6" w:tplc="2A8249B6">
      <w:numFmt w:val="decimal"/>
      <w:lvlText w:val=""/>
      <w:lvlJc w:val="left"/>
    </w:lvl>
    <w:lvl w:ilvl="7" w:tplc="3C8AC906">
      <w:numFmt w:val="decimal"/>
      <w:lvlText w:val=""/>
      <w:lvlJc w:val="left"/>
    </w:lvl>
    <w:lvl w:ilvl="8" w:tplc="73924224">
      <w:numFmt w:val="decimal"/>
      <w:lvlText w:val=""/>
      <w:lvlJc w:val="left"/>
    </w:lvl>
  </w:abstractNum>
  <w:abstractNum w:abstractNumId="25" w15:restartNumberingAfterBreak="0">
    <w:nsid w:val="5EAF1D6B"/>
    <w:multiLevelType w:val="hybridMultilevel"/>
    <w:tmpl w:val="7982F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5E4298"/>
    <w:multiLevelType w:val="hybridMultilevel"/>
    <w:tmpl w:val="452867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B9C07860">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A443E5"/>
    <w:multiLevelType w:val="hybridMultilevel"/>
    <w:tmpl w:val="0B04F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AD055C"/>
    <w:multiLevelType w:val="hybridMultilevel"/>
    <w:tmpl w:val="691234A0"/>
    <w:lvl w:ilvl="0" w:tplc="6374C58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C895D"/>
    <w:multiLevelType w:val="hybridMultilevel"/>
    <w:tmpl w:val="1AE2D8C0"/>
    <w:lvl w:ilvl="0" w:tplc="FE689878">
      <w:start w:val="13"/>
      <w:numFmt w:val="decimal"/>
      <w:lvlText w:val="%1"/>
      <w:lvlJc w:val="left"/>
    </w:lvl>
    <w:lvl w:ilvl="1" w:tplc="CE147582">
      <w:numFmt w:val="decimal"/>
      <w:lvlText w:val=""/>
      <w:lvlJc w:val="left"/>
    </w:lvl>
    <w:lvl w:ilvl="2" w:tplc="8B6AECDE">
      <w:numFmt w:val="decimal"/>
      <w:lvlText w:val=""/>
      <w:lvlJc w:val="left"/>
    </w:lvl>
    <w:lvl w:ilvl="3" w:tplc="90860898">
      <w:numFmt w:val="decimal"/>
      <w:lvlText w:val=""/>
      <w:lvlJc w:val="left"/>
    </w:lvl>
    <w:lvl w:ilvl="4" w:tplc="0A327842">
      <w:numFmt w:val="decimal"/>
      <w:lvlText w:val=""/>
      <w:lvlJc w:val="left"/>
    </w:lvl>
    <w:lvl w:ilvl="5" w:tplc="00BC654C">
      <w:numFmt w:val="decimal"/>
      <w:lvlText w:val=""/>
      <w:lvlJc w:val="left"/>
    </w:lvl>
    <w:lvl w:ilvl="6" w:tplc="8C0E5546">
      <w:numFmt w:val="decimal"/>
      <w:lvlText w:val=""/>
      <w:lvlJc w:val="left"/>
    </w:lvl>
    <w:lvl w:ilvl="7" w:tplc="D7743366">
      <w:numFmt w:val="decimal"/>
      <w:lvlText w:val=""/>
      <w:lvlJc w:val="left"/>
    </w:lvl>
    <w:lvl w:ilvl="8" w:tplc="5142CFAE">
      <w:numFmt w:val="decimal"/>
      <w:lvlText w:val=""/>
      <w:lvlJc w:val="left"/>
    </w:lvl>
  </w:abstractNum>
  <w:abstractNum w:abstractNumId="30" w15:restartNumberingAfterBreak="0">
    <w:nsid w:val="672F4F16"/>
    <w:multiLevelType w:val="hybridMultilevel"/>
    <w:tmpl w:val="EC18E1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626F6E"/>
    <w:multiLevelType w:val="hybridMultilevel"/>
    <w:tmpl w:val="3EAA70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3845E"/>
    <w:multiLevelType w:val="hybridMultilevel"/>
    <w:tmpl w:val="87F68E48"/>
    <w:lvl w:ilvl="0" w:tplc="C1AC5834">
      <w:start w:val="16"/>
      <w:numFmt w:val="decimal"/>
      <w:lvlText w:val="%1"/>
      <w:lvlJc w:val="left"/>
    </w:lvl>
    <w:lvl w:ilvl="1" w:tplc="26E236D2">
      <w:numFmt w:val="decimal"/>
      <w:lvlText w:val=""/>
      <w:lvlJc w:val="left"/>
    </w:lvl>
    <w:lvl w:ilvl="2" w:tplc="8312DFB8">
      <w:numFmt w:val="decimal"/>
      <w:lvlText w:val=""/>
      <w:lvlJc w:val="left"/>
    </w:lvl>
    <w:lvl w:ilvl="3" w:tplc="3BF8032A">
      <w:numFmt w:val="decimal"/>
      <w:lvlText w:val=""/>
      <w:lvlJc w:val="left"/>
    </w:lvl>
    <w:lvl w:ilvl="4" w:tplc="B6D46E02">
      <w:numFmt w:val="decimal"/>
      <w:lvlText w:val=""/>
      <w:lvlJc w:val="left"/>
    </w:lvl>
    <w:lvl w:ilvl="5" w:tplc="9B12A894">
      <w:numFmt w:val="decimal"/>
      <w:lvlText w:val=""/>
      <w:lvlJc w:val="left"/>
    </w:lvl>
    <w:lvl w:ilvl="6" w:tplc="A8102224">
      <w:numFmt w:val="decimal"/>
      <w:lvlText w:val=""/>
      <w:lvlJc w:val="left"/>
    </w:lvl>
    <w:lvl w:ilvl="7" w:tplc="19F428C8">
      <w:numFmt w:val="decimal"/>
      <w:lvlText w:val=""/>
      <w:lvlJc w:val="left"/>
    </w:lvl>
    <w:lvl w:ilvl="8" w:tplc="F97A88CA">
      <w:numFmt w:val="decimal"/>
      <w:lvlText w:val=""/>
      <w:lvlJc w:val="left"/>
    </w:lvl>
  </w:abstractNum>
  <w:abstractNum w:abstractNumId="33" w15:restartNumberingAfterBreak="0">
    <w:nsid w:val="6B68079A"/>
    <w:multiLevelType w:val="hybridMultilevel"/>
    <w:tmpl w:val="8788D6D0"/>
    <w:lvl w:ilvl="0" w:tplc="0409000B">
      <w:start w:val="1"/>
      <w:numFmt w:val="bullet"/>
      <w:lvlText w:val=""/>
      <w:lvlJc w:val="left"/>
      <w:rPr>
        <w:rFonts w:ascii="Wingdings" w:hAnsi="Wingdings" w:hint="default"/>
      </w:rPr>
    </w:lvl>
    <w:lvl w:ilvl="1" w:tplc="9A8A070A">
      <w:numFmt w:val="decimal"/>
      <w:lvlText w:val=""/>
      <w:lvlJc w:val="left"/>
    </w:lvl>
    <w:lvl w:ilvl="2" w:tplc="8F1C992E">
      <w:numFmt w:val="decimal"/>
      <w:lvlText w:val=""/>
      <w:lvlJc w:val="left"/>
    </w:lvl>
    <w:lvl w:ilvl="3" w:tplc="F5A2DE3E">
      <w:numFmt w:val="decimal"/>
      <w:lvlText w:val=""/>
      <w:lvlJc w:val="left"/>
    </w:lvl>
    <w:lvl w:ilvl="4" w:tplc="B4AA75B6">
      <w:numFmt w:val="decimal"/>
      <w:lvlText w:val=""/>
      <w:lvlJc w:val="left"/>
    </w:lvl>
    <w:lvl w:ilvl="5" w:tplc="64186C42">
      <w:numFmt w:val="decimal"/>
      <w:lvlText w:val=""/>
      <w:lvlJc w:val="left"/>
    </w:lvl>
    <w:lvl w:ilvl="6" w:tplc="7706A532">
      <w:numFmt w:val="decimal"/>
      <w:lvlText w:val=""/>
      <w:lvlJc w:val="left"/>
    </w:lvl>
    <w:lvl w:ilvl="7" w:tplc="157CB7DE">
      <w:numFmt w:val="decimal"/>
      <w:lvlText w:val=""/>
      <w:lvlJc w:val="left"/>
    </w:lvl>
    <w:lvl w:ilvl="8" w:tplc="6F8EF90C">
      <w:numFmt w:val="decimal"/>
      <w:lvlText w:val=""/>
      <w:lvlJc w:val="left"/>
    </w:lvl>
  </w:abstractNum>
  <w:abstractNum w:abstractNumId="34" w15:restartNumberingAfterBreak="0">
    <w:nsid w:val="717739A0"/>
    <w:multiLevelType w:val="hybridMultilevel"/>
    <w:tmpl w:val="DFA695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BA3A32"/>
    <w:multiLevelType w:val="hybridMultilevel"/>
    <w:tmpl w:val="C004CB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21DA317"/>
    <w:multiLevelType w:val="hybridMultilevel"/>
    <w:tmpl w:val="D93ED956"/>
    <w:lvl w:ilvl="0" w:tplc="4B86AD38">
      <w:start w:val="1"/>
      <w:numFmt w:val="decimal"/>
      <w:lvlText w:val="%1."/>
      <w:lvlJc w:val="left"/>
    </w:lvl>
    <w:lvl w:ilvl="1" w:tplc="B62A1238">
      <w:numFmt w:val="decimal"/>
      <w:lvlText w:val=""/>
      <w:lvlJc w:val="left"/>
    </w:lvl>
    <w:lvl w:ilvl="2" w:tplc="3042D7DC">
      <w:numFmt w:val="decimal"/>
      <w:lvlText w:val=""/>
      <w:lvlJc w:val="left"/>
    </w:lvl>
    <w:lvl w:ilvl="3" w:tplc="98487734">
      <w:numFmt w:val="decimal"/>
      <w:lvlText w:val=""/>
      <w:lvlJc w:val="left"/>
    </w:lvl>
    <w:lvl w:ilvl="4" w:tplc="6A0489CE">
      <w:numFmt w:val="decimal"/>
      <w:lvlText w:val=""/>
      <w:lvlJc w:val="left"/>
    </w:lvl>
    <w:lvl w:ilvl="5" w:tplc="0A943414">
      <w:numFmt w:val="decimal"/>
      <w:lvlText w:val=""/>
      <w:lvlJc w:val="left"/>
    </w:lvl>
    <w:lvl w:ilvl="6" w:tplc="382A0BD2">
      <w:numFmt w:val="decimal"/>
      <w:lvlText w:val=""/>
      <w:lvlJc w:val="left"/>
    </w:lvl>
    <w:lvl w:ilvl="7" w:tplc="BEF8A0C6">
      <w:numFmt w:val="decimal"/>
      <w:lvlText w:val=""/>
      <w:lvlJc w:val="left"/>
    </w:lvl>
    <w:lvl w:ilvl="8" w:tplc="5C9AE132">
      <w:numFmt w:val="decimal"/>
      <w:lvlText w:val=""/>
      <w:lvlJc w:val="left"/>
    </w:lvl>
  </w:abstractNum>
  <w:abstractNum w:abstractNumId="37" w15:restartNumberingAfterBreak="0">
    <w:nsid w:val="75A2A8D4"/>
    <w:multiLevelType w:val="hybridMultilevel"/>
    <w:tmpl w:val="439642D4"/>
    <w:lvl w:ilvl="0" w:tplc="0D0CF162">
      <w:start w:val="17"/>
      <w:numFmt w:val="decimal"/>
      <w:lvlText w:val="%1"/>
      <w:lvlJc w:val="left"/>
    </w:lvl>
    <w:lvl w:ilvl="1" w:tplc="06787A18">
      <w:numFmt w:val="decimal"/>
      <w:lvlText w:val=""/>
      <w:lvlJc w:val="left"/>
    </w:lvl>
    <w:lvl w:ilvl="2" w:tplc="4A8A15BA">
      <w:numFmt w:val="decimal"/>
      <w:lvlText w:val=""/>
      <w:lvlJc w:val="left"/>
    </w:lvl>
    <w:lvl w:ilvl="3" w:tplc="C7E4002C">
      <w:numFmt w:val="decimal"/>
      <w:lvlText w:val=""/>
      <w:lvlJc w:val="left"/>
    </w:lvl>
    <w:lvl w:ilvl="4" w:tplc="FDF43642">
      <w:numFmt w:val="decimal"/>
      <w:lvlText w:val=""/>
      <w:lvlJc w:val="left"/>
    </w:lvl>
    <w:lvl w:ilvl="5" w:tplc="11568746">
      <w:numFmt w:val="decimal"/>
      <w:lvlText w:val=""/>
      <w:lvlJc w:val="left"/>
    </w:lvl>
    <w:lvl w:ilvl="6" w:tplc="17300EFA">
      <w:numFmt w:val="decimal"/>
      <w:lvlText w:val=""/>
      <w:lvlJc w:val="left"/>
    </w:lvl>
    <w:lvl w:ilvl="7" w:tplc="ECFE6E06">
      <w:numFmt w:val="decimal"/>
      <w:lvlText w:val=""/>
      <w:lvlJc w:val="left"/>
    </w:lvl>
    <w:lvl w:ilvl="8" w:tplc="487ACF10">
      <w:numFmt w:val="decimal"/>
      <w:lvlText w:val=""/>
      <w:lvlJc w:val="left"/>
    </w:lvl>
  </w:abstractNum>
  <w:abstractNum w:abstractNumId="38" w15:restartNumberingAfterBreak="0">
    <w:nsid w:val="78981FA3"/>
    <w:multiLevelType w:val="hybridMultilevel"/>
    <w:tmpl w:val="46129872"/>
    <w:lvl w:ilvl="0" w:tplc="505E81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F1072A"/>
    <w:multiLevelType w:val="hybridMultilevel"/>
    <w:tmpl w:val="0896D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838CB2"/>
    <w:multiLevelType w:val="hybridMultilevel"/>
    <w:tmpl w:val="F7DEBB24"/>
    <w:lvl w:ilvl="0" w:tplc="C2803AD2">
      <w:start w:val="1"/>
      <w:numFmt w:val="lowerLetter"/>
      <w:lvlText w:val="%1)"/>
      <w:lvlJc w:val="left"/>
    </w:lvl>
    <w:lvl w:ilvl="1" w:tplc="00B0A0FC">
      <w:numFmt w:val="decimal"/>
      <w:lvlText w:val=""/>
      <w:lvlJc w:val="left"/>
    </w:lvl>
    <w:lvl w:ilvl="2" w:tplc="73CCCFAE">
      <w:numFmt w:val="decimal"/>
      <w:lvlText w:val=""/>
      <w:lvlJc w:val="left"/>
    </w:lvl>
    <w:lvl w:ilvl="3" w:tplc="EC38BAB6">
      <w:numFmt w:val="decimal"/>
      <w:lvlText w:val=""/>
      <w:lvlJc w:val="left"/>
    </w:lvl>
    <w:lvl w:ilvl="4" w:tplc="7D7C5F2E">
      <w:numFmt w:val="decimal"/>
      <w:lvlText w:val=""/>
      <w:lvlJc w:val="left"/>
    </w:lvl>
    <w:lvl w:ilvl="5" w:tplc="EC040DB2">
      <w:numFmt w:val="decimal"/>
      <w:lvlText w:val=""/>
      <w:lvlJc w:val="left"/>
    </w:lvl>
    <w:lvl w:ilvl="6" w:tplc="ACCEDBB2">
      <w:numFmt w:val="decimal"/>
      <w:lvlText w:val=""/>
      <w:lvlJc w:val="left"/>
    </w:lvl>
    <w:lvl w:ilvl="7" w:tplc="C130C9BC">
      <w:numFmt w:val="decimal"/>
      <w:lvlText w:val=""/>
      <w:lvlJc w:val="left"/>
    </w:lvl>
    <w:lvl w:ilvl="8" w:tplc="A7B2C948">
      <w:numFmt w:val="decimal"/>
      <w:lvlText w:val=""/>
      <w:lvlJc w:val="left"/>
    </w:lvl>
  </w:abstractNum>
  <w:abstractNum w:abstractNumId="41" w15:restartNumberingAfterBreak="0">
    <w:nsid w:val="7BC75B76"/>
    <w:multiLevelType w:val="hybridMultilevel"/>
    <w:tmpl w:val="12B61FA8"/>
    <w:lvl w:ilvl="0" w:tplc="04090001">
      <w:start w:val="1"/>
      <w:numFmt w:val="bullet"/>
      <w:lvlText w:val=""/>
      <w:lvlJc w:val="left"/>
      <w:pPr>
        <w:ind w:left="1300" w:hanging="360"/>
      </w:pPr>
      <w:rPr>
        <w:rFonts w:ascii="Symbol" w:hAnsi="Symbol" w:hint="default"/>
        <w:w w:val="99"/>
        <w:lang w:val="en-US" w:eastAsia="en-US" w:bidi="en-US"/>
      </w:rPr>
    </w:lvl>
    <w:lvl w:ilvl="1" w:tplc="B9A0B454">
      <w:numFmt w:val="bullet"/>
      <w:lvlText w:val="•"/>
      <w:lvlJc w:val="left"/>
      <w:pPr>
        <w:ind w:left="2344" w:hanging="360"/>
      </w:pPr>
      <w:rPr>
        <w:rFonts w:hint="default"/>
        <w:lang w:val="en-US" w:eastAsia="en-US" w:bidi="en-US"/>
      </w:rPr>
    </w:lvl>
    <w:lvl w:ilvl="2" w:tplc="8466CB6A">
      <w:numFmt w:val="bullet"/>
      <w:lvlText w:val="•"/>
      <w:lvlJc w:val="left"/>
      <w:pPr>
        <w:ind w:left="3388" w:hanging="360"/>
      </w:pPr>
      <w:rPr>
        <w:rFonts w:hint="default"/>
        <w:lang w:val="en-US" w:eastAsia="en-US" w:bidi="en-US"/>
      </w:rPr>
    </w:lvl>
    <w:lvl w:ilvl="3" w:tplc="3B9E85D2">
      <w:numFmt w:val="bullet"/>
      <w:lvlText w:val="•"/>
      <w:lvlJc w:val="left"/>
      <w:pPr>
        <w:ind w:left="4432" w:hanging="360"/>
      </w:pPr>
      <w:rPr>
        <w:rFonts w:hint="default"/>
        <w:lang w:val="en-US" w:eastAsia="en-US" w:bidi="en-US"/>
      </w:rPr>
    </w:lvl>
    <w:lvl w:ilvl="4" w:tplc="4B846082">
      <w:numFmt w:val="bullet"/>
      <w:lvlText w:val="•"/>
      <w:lvlJc w:val="left"/>
      <w:pPr>
        <w:ind w:left="5476" w:hanging="360"/>
      </w:pPr>
      <w:rPr>
        <w:rFonts w:hint="default"/>
        <w:lang w:val="en-US" w:eastAsia="en-US" w:bidi="en-US"/>
      </w:rPr>
    </w:lvl>
    <w:lvl w:ilvl="5" w:tplc="B524D81A">
      <w:numFmt w:val="bullet"/>
      <w:lvlText w:val="•"/>
      <w:lvlJc w:val="left"/>
      <w:pPr>
        <w:ind w:left="6520" w:hanging="360"/>
      </w:pPr>
      <w:rPr>
        <w:rFonts w:hint="default"/>
        <w:lang w:val="en-US" w:eastAsia="en-US" w:bidi="en-US"/>
      </w:rPr>
    </w:lvl>
    <w:lvl w:ilvl="6" w:tplc="FC12F31E">
      <w:numFmt w:val="bullet"/>
      <w:lvlText w:val="•"/>
      <w:lvlJc w:val="left"/>
      <w:pPr>
        <w:ind w:left="7564" w:hanging="360"/>
      </w:pPr>
      <w:rPr>
        <w:rFonts w:hint="default"/>
        <w:lang w:val="en-US" w:eastAsia="en-US" w:bidi="en-US"/>
      </w:rPr>
    </w:lvl>
    <w:lvl w:ilvl="7" w:tplc="8FCC0044">
      <w:numFmt w:val="bullet"/>
      <w:lvlText w:val="•"/>
      <w:lvlJc w:val="left"/>
      <w:pPr>
        <w:ind w:left="8608" w:hanging="360"/>
      </w:pPr>
      <w:rPr>
        <w:rFonts w:hint="default"/>
        <w:lang w:val="en-US" w:eastAsia="en-US" w:bidi="en-US"/>
      </w:rPr>
    </w:lvl>
    <w:lvl w:ilvl="8" w:tplc="AE2C389E">
      <w:numFmt w:val="bullet"/>
      <w:lvlText w:val="•"/>
      <w:lvlJc w:val="left"/>
      <w:pPr>
        <w:ind w:left="9652" w:hanging="360"/>
      </w:pPr>
      <w:rPr>
        <w:rFonts w:hint="default"/>
        <w:lang w:val="en-US" w:eastAsia="en-US" w:bidi="en-US"/>
      </w:rPr>
    </w:lvl>
  </w:abstractNum>
  <w:abstractNum w:abstractNumId="42" w15:restartNumberingAfterBreak="0">
    <w:nsid w:val="7C83E458"/>
    <w:multiLevelType w:val="hybridMultilevel"/>
    <w:tmpl w:val="F516E6BC"/>
    <w:lvl w:ilvl="0" w:tplc="681099C8">
      <w:start w:val="6"/>
      <w:numFmt w:val="decimal"/>
      <w:lvlText w:val="%1"/>
      <w:lvlJc w:val="left"/>
    </w:lvl>
    <w:lvl w:ilvl="1" w:tplc="29DEB274">
      <w:numFmt w:val="decimal"/>
      <w:lvlText w:val=""/>
      <w:lvlJc w:val="left"/>
    </w:lvl>
    <w:lvl w:ilvl="2" w:tplc="980CB112">
      <w:numFmt w:val="decimal"/>
      <w:lvlText w:val=""/>
      <w:lvlJc w:val="left"/>
    </w:lvl>
    <w:lvl w:ilvl="3" w:tplc="92B25CAA">
      <w:numFmt w:val="decimal"/>
      <w:lvlText w:val=""/>
      <w:lvlJc w:val="left"/>
    </w:lvl>
    <w:lvl w:ilvl="4" w:tplc="39D02A76">
      <w:numFmt w:val="decimal"/>
      <w:lvlText w:val=""/>
      <w:lvlJc w:val="left"/>
    </w:lvl>
    <w:lvl w:ilvl="5" w:tplc="798C52B0">
      <w:numFmt w:val="decimal"/>
      <w:lvlText w:val=""/>
      <w:lvlJc w:val="left"/>
    </w:lvl>
    <w:lvl w:ilvl="6" w:tplc="A9C68A9C">
      <w:numFmt w:val="decimal"/>
      <w:lvlText w:val=""/>
      <w:lvlJc w:val="left"/>
    </w:lvl>
    <w:lvl w:ilvl="7" w:tplc="075009DA">
      <w:numFmt w:val="decimal"/>
      <w:lvlText w:val=""/>
      <w:lvlJc w:val="left"/>
    </w:lvl>
    <w:lvl w:ilvl="8" w:tplc="2E4C887E">
      <w:numFmt w:val="decimal"/>
      <w:lvlText w:val=""/>
      <w:lvlJc w:val="left"/>
    </w:lvl>
  </w:abstractNum>
  <w:num w:numId="1">
    <w:abstractNumId w:val="9"/>
  </w:num>
  <w:num w:numId="2">
    <w:abstractNumId w:val="22"/>
  </w:num>
  <w:num w:numId="3">
    <w:abstractNumId w:val="25"/>
  </w:num>
  <w:num w:numId="4">
    <w:abstractNumId w:val="30"/>
  </w:num>
  <w:num w:numId="5">
    <w:abstractNumId w:val="31"/>
  </w:num>
  <w:num w:numId="6">
    <w:abstractNumId w:val="38"/>
  </w:num>
  <w:num w:numId="7">
    <w:abstractNumId w:val="20"/>
  </w:num>
  <w:num w:numId="8">
    <w:abstractNumId w:val="34"/>
  </w:num>
  <w:num w:numId="9">
    <w:abstractNumId w:val="3"/>
  </w:num>
  <w:num w:numId="10">
    <w:abstractNumId w:val="28"/>
  </w:num>
  <w:num w:numId="11">
    <w:abstractNumId w:val="16"/>
  </w:num>
  <w:num w:numId="12">
    <w:abstractNumId w:val="0"/>
  </w:num>
  <w:num w:numId="13">
    <w:abstractNumId w:val="26"/>
  </w:num>
  <w:num w:numId="14">
    <w:abstractNumId w:val="6"/>
  </w:num>
  <w:num w:numId="15">
    <w:abstractNumId w:val="10"/>
  </w:num>
  <w:num w:numId="16">
    <w:abstractNumId w:val="21"/>
  </w:num>
  <w:num w:numId="17">
    <w:abstractNumId w:val="35"/>
  </w:num>
  <w:num w:numId="18">
    <w:abstractNumId w:val="2"/>
  </w:num>
  <w:num w:numId="19">
    <w:abstractNumId w:val="27"/>
  </w:num>
  <w:num w:numId="20">
    <w:abstractNumId w:val="14"/>
  </w:num>
  <w:num w:numId="21">
    <w:abstractNumId w:val="5"/>
  </w:num>
  <w:num w:numId="22">
    <w:abstractNumId w:val="33"/>
  </w:num>
  <w:num w:numId="23">
    <w:abstractNumId w:val="23"/>
  </w:num>
  <w:num w:numId="24">
    <w:abstractNumId w:val="24"/>
  </w:num>
  <w:num w:numId="25">
    <w:abstractNumId w:val="18"/>
  </w:num>
  <w:num w:numId="26">
    <w:abstractNumId w:val="17"/>
  </w:num>
  <w:num w:numId="27">
    <w:abstractNumId w:val="42"/>
  </w:num>
  <w:num w:numId="28">
    <w:abstractNumId w:val="8"/>
  </w:num>
  <w:num w:numId="29">
    <w:abstractNumId w:val="19"/>
  </w:num>
  <w:num w:numId="30">
    <w:abstractNumId w:val="29"/>
  </w:num>
  <w:num w:numId="31">
    <w:abstractNumId w:val="36"/>
  </w:num>
  <w:num w:numId="32">
    <w:abstractNumId w:val="7"/>
  </w:num>
  <w:num w:numId="33">
    <w:abstractNumId w:val="11"/>
  </w:num>
  <w:num w:numId="34">
    <w:abstractNumId w:val="32"/>
  </w:num>
  <w:num w:numId="35">
    <w:abstractNumId w:val="37"/>
  </w:num>
  <w:num w:numId="36">
    <w:abstractNumId w:val="1"/>
  </w:num>
  <w:num w:numId="37">
    <w:abstractNumId w:val="40"/>
  </w:num>
  <w:num w:numId="38">
    <w:abstractNumId w:val="13"/>
  </w:num>
  <w:num w:numId="39">
    <w:abstractNumId w:val="39"/>
  </w:num>
  <w:num w:numId="40">
    <w:abstractNumId w:val="12"/>
  </w:num>
  <w:num w:numId="41">
    <w:abstractNumId w:val="41"/>
  </w:num>
  <w:num w:numId="42">
    <w:abstractNumId w:val="4"/>
  </w:num>
  <w:num w:numId="43">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517"/>
    <w:rsid w:val="00000070"/>
    <w:rsid w:val="00016163"/>
    <w:rsid w:val="00036A36"/>
    <w:rsid w:val="000438DD"/>
    <w:rsid w:val="00046A4A"/>
    <w:rsid w:val="00050577"/>
    <w:rsid w:val="00095E4B"/>
    <w:rsid w:val="000A3413"/>
    <w:rsid w:val="000A6F74"/>
    <w:rsid w:val="000E167A"/>
    <w:rsid w:val="000E7C07"/>
    <w:rsid w:val="00115402"/>
    <w:rsid w:val="0014571B"/>
    <w:rsid w:val="00155E6C"/>
    <w:rsid w:val="00161F2C"/>
    <w:rsid w:val="00163486"/>
    <w:rsid w:val="0017495C"/>
    <w:rsid w:val="0017606A"/>
    <w:rsid w:val="001A0864"/>
    <w:rsid w:val="001D5760"/>
    <w:rsid w:val="00212325"/>
    <w:rsid w:val="002216AF"/>
    <w:rsid w:val="00235350"/>
    <w:rsid w:val="0023559A"/>
    <w:rsid w:val="00242126"/>
    <w:rsid w:val="002422DE"/>
    <w:rsid w:val="002447FE"/>
    <w:rsid w:val="00293DA4"/>
    <w:rsid w:val="0029517A"/>
    <w:rsid w:val="002A1D61"/>
    <w:rsid w:val="002B2CFA"/>
    <w:rsid w:val="002C4868"/>
    <w:rsid w:val="0031526C"/>
    <w:rsid w:val="00330EA3"/>
    <w:rsid w:val="003472FD"/>
    <w:rsid w:val="0035624E"/>
    <w:rsid w:val="003568B8"/>
    <w:rsid w:val="00395CB6"/>
    <w:rsid w:val="00396C74"/>
    <w:rsid w:val="003B29B4"/>
    <w:rsid w:val="003B5E41"/>
    <w:rsid w:val="003C183B"/>
    <w:rsid w:val="003D136A"/>
    <w:rsid w:val="003D24EA"/>
    <w:rsid w:val="003D4879"/>
    <w:rsid w:val="003D519C"/>
    <w:rsid w:val="003F675A"/>
    <w:rsid w:val="0040414E"/>
    <w:rsid w:val="0041029E"/>
    <w:rsid w:val="0041515A"/>
    <w:rsid w:val="00420E63"/>
    <w:rsid w:val="00422A36"/>
    <w:rsid w:val="00431C8F"/>
    <w:rsid w:val="00434CFD"/>
    <w:rsid w:val="004431F5"/>
    <w:rsid w:val="00443CDA"/>
    <w:rsid w:val="00450868"/>
    <w:rsid w:val="004B3A41"/>
    <w:rsid w:val="004F4CCF"/>
    <w:rsid w:val="00502515"/>
    <w:rsid w:val="00503ED3"/>
    <w:rsid w:val="00510706"/>
    <w:rsid w:val="00555A72"/>
    <w:rsid w:val="00555CB7"/>
    <w:rsid w:val="00561600"/>
    <w:rsid w:val="00593067"/>
    <w:rsid w:val="00595B4D"/>
    <w:rsid w:val="005A7D5D"/>
    <w:rsid w:val="005C328D"/>
    <w:rsid w:val="005D60EA"/>
    <w:rsid w:val="005E08C2"/>
    <w:rsid w:val="005E3D37"/>
    <w:rsid w:val="005E5376"/>
    <w:rsid w:val="0060314F"/>
    <w:rsid w:val="006033D7"/>
    <w:rsid w:val="00610E82"/>
    <w:rsid w:val="00636D59"/>
    <w:rsid w:val="00637F20"/>
    <w:rsid w:val="006704BF"/>
    <w:rsid w:val="006809DE"/>
    <w:rsid w:val="006A422C"/>
    <w:rsid w:val="006B2045"/>
    <w:rsid w:val="006C6F30"/>
    <w:rsid w:val="006D77C7"/>
    <w:rsid w:val="00716E5A"/>
    <w:rsid w:val="0072456F"/>
    <w:rsid w:val="00735375"/>
    <w:rsid w:val="007409EB"/>
    <w:rsid w:val="00750FA8"/>
    <w:rsid w:val="00754C81"/>
    <w:rsid w:val="0079001D"/>
    <w:rsid w:val="007904DF"/>
    <w:rsid w:val="00793CB5"/>
    <w:rsid w:val="007C59C3"/>
    <w:rsid w:val="007D6988"/>
    <w:rsid w:val="00802F8B"/>
    <w:rsid w:val="0080389E"/>
    <w:rsid w:val="00810472"/>
    <w:rsid w:val="00810CFA"/>
    <w:rsid w:val="00840853"/>
    <w:rsid w:val="00850175"/>
    <w:rsid w:val="008519B8"/>
    <w:rsid w:val="0085409A"/>
    <w:rsid w:val="008573E1"/>
    <w:rsid w:val="00857F24"/>
    <w:rsid w:val="00867D81"/>
    <w:rsid w:val="0087333D"/>
    <w:rsid w:val="00877742"/>
    <w:rsid w:val="00881710"/>
    <w:rsid w:val="00884880"/>
    <w:rsid w:val="008B68EB"/>
    <w:rsid w:val="008C26A1"/>
    <w:rsid w:val="008C451D"/>
    <w:rsid w:val="008D2297"/>
    <w:rsid w:val="008F15C7"/>
    <w:rsid w:val="00903B00"/>
    <w:rsid w:val="0090784D"/>
    <w:rsid w:val="00915B58"/>
    <w:rsid w:val="009177A8"/>
    <w:rsid w:val="00931468"/>
    <w:rsid w:val="009330F3"/>
    <w:rsid w:val="00953AAE"/>
    <w:rsid w:val="00975514"/>
    <w:rsid w:val="00993917"/>
    <w:rsid w:val="009D5B6B"/>
    <w:rsid w:val="009F6E21"/>
    <w:rsid w:val="009F6E59"/>
    <w:rsid w:val="00A12EE8"/>
    <w:rsid w:val="00A14B52"/>
    <w:rsid w:val="00A25615"/>
    <w:rsid w:val="00A379BE"/>
    <w:rsid w:val="00A468FC"/>
    <w:rsid w:val="00A7527B"/>
    <w:rsid w:val="00A8167C"/>
    <w:rsid w:val="00A82B37"/>
    <w:rsid w:val="00A87917"/>
    <w:rsid w:val="00AB2C1B"/>
    <w:rsid w:val="00AD205C"/>
    <w:rsid w:val="00AF2642"/>
    <w:rsid w:val="00B16A72"/>
    <w:rsid w:val="00B217A4"/>
    <w:rsid w:val="00B5503E"/>
    <w:rsid w:val="00B61F6C"/>
    <w:rsid w:val="00B71825"/>
    <w:rsid w:val="00B91B6D"/>
    <w:rsid w:val="00BA3E5D"/>
    <w:rsid w:val="00BB5ADD"/>
    <w:rsid w:val="00BC23F4"/>
    <w:rsid w:val="00BC2D61"/>
    <w:rsid w:val="00BD141D"/>
    <w:rsid w:val="00BE1782"/>
    <w:rsid w:val="00C37C44"/>
    <w:rsid w:val="00C42C09"/>
    <w:rsid w:val="00C615E4"/>
    <w:rsid w:val="00C66495"/>
    <w:rsid w:val="00C859B5"/>
    <w:rsid w:val="00C95A12"/>
    <w:rsid w:val="00CB6A34"/>
    <w:rsid w:val="00CC1278"/>
    <w:rsid w:val="00CC3BD9"/>
    <w:rsid w:val="00CD4517"/>
    <w:rsid w:val="00CE46FC"/>
    <w:rsid w:val="00CF0003"/>
    <w:rsid w:val="00D016A8"/>
    <w:rsid w:val="00D12CD6"/>
    <w:rsid w:val="00D13648"/>
    <w:rsid w:val="00D21648"/>
    <w:rsid w:val="00D36FCC"/>
    <w:rsid w:val="00D429B9"/>
    <w:rsid w:val="00D77476"/>
    <w:rsid w:val="00D94CD2"/>
    <w:rsid w:val="00D9719F"/>
    <w:rsid w:val="00DA230F"/>
    <w:rsid w:val="00DA2858"/>
    <w:rsid w:val="00DA2B6B"/>
    <w:rsid w:val="00DD2659"/>
    <w:rsid w:val="00DD610B"/>
    <w:rsid w:val="00DF39C0"/>
    <w:rsid w:val="00E27205"/>
    <w:rsid w:val="00E45BE6"/>
    <w:rsid w:val="00E50159"/>
    <w:rsid w:val="00E62A87"/>
    <w:rsid w:val="00E6475C"/>
    <w:rsid w:val="00E765A1"/>
    <w:rsid w:val="00E86AF3"/>
    <w:rsid w:val="00EA0688"/>
    <w:rsid w:val="00EA63D9"/>
    <w:rsid w:val="00EB2B44"/>
    <w:rsid w:val="00EC5CDA"/>
    <w:rsid w:val="00ED34C1"/>
    <w:rsid w:val="00ED3CD4"/>
    <w:rsid w:val="00EE0AA4"/>
    <w:rsid w:val="00EE7C3F"/>
    <w:rsid w:val="00F01904"/>
    <w:rsid w:val="00F1335A"/>
    <w:rsid w:val="00F14FD4"/>
    <w:rsid w:val="00F20209"/>
    <w:rsid w:val="00F24441"/>
    <w:rsid w:val="00F405CB"/>
    <w:rsid w:val="00F43F3F"/>
    <w:rsid w:val="00F44490"/>
    <w:rsid w:val="00F46680"/>
    <w:rsid w:val="00F50F71"/>
    <w:rsid w:val="00F54FF3"/>
    <w:rsid w:val="00F829F6"/>
    <w:rsid w:val="00F85DE6"/>
    <w:rsid w:val="00FA3ABC"/>
    <w:rsid w:val="00FB3756"/>
    <w:rsid w:val="00FB73A0"/>
    <w:rsid w:val="00FC1096"/>
    <w:rsid w:val="00FC401D"/>
    <w:rsid w:val="00FC40B9"/>
    <w:rsid w:val="00FE2E0B"/>
    <w:rsid w:val="00FE2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747B44"/>
  <w15:chartTrackingRefBased/>
  <w15:docId w15:val="{EC4BCF6A-2976-458C-A0C0-B5E62A2E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829F6"/>
    <w:pPr>
      <w:spacing w:after="0" w:line="240" w:lineRule="auto"/>
    </w:pPr>
    <w:rPr>
      <w:sz w:val="24"/>
      <w:szCs w:val="24"/>
    </w:rPr>
  </w:style>
  <w:style w:type="paragraph" w:styleId="Heading1">
    <w:name w:val="heading 1"/>
    <w:basedOn w:val="Normal"/>
    <w:link w:val="Heading1Char"/>
    <w:autoRedefine/>
    <w:uiPriority w:val="9"/>
    <w:qFormat/>
    <w:rsid w:val="000A6F74"/>
    <w:pPr>
      <w:jc w:val="center"/>
      <w:outlineLvl w:val="0"/>
    </w:pPr>
    <w:rPr>
      <w:rFonts w:eastAsia="Times New Roman" w:cs="Times New Roman"/>
      <w:b/>
      <w:bCs/>
      <w:kern w:val="36"/>
      <w:sz w:val="96"/>
      <w:szCs w:val="144"/>
      <w14:reflection w14:blurRad="0" w14:stA="0" w14:stPos="0" w14:endA="0" w14:endPos="62000" w14:dist="0" w14:dir="0" w14:fadeDir="0" w14:sx="0" w14:sy="0" w14:kx="0" w14:ky="0" w14:algn="b"/>
    </w:rPr>
  </w:style>
  <w:style w:type="paragraph" w:styleId="Heading2">
    <w:name w:val="heading 2"/>
    <w:basedOn w:val="Heading1"/>
    <w:next w:val="Normal"/>
    <w:link w:val="Heading2Char"/>
    <w:uiPriority w:val="9"/>
    <w:qFormat/>
    <w:rsid w:val="00D36FCC"/>
    <w:pPr>
      <w:shd w:val="clear" w:color="auto" w:fill="C00000"/>
      <w:jc w:val="left"/>
      <w:outlineLvl w:val="1"/>
    </w:pPr>
    <w:rPr>
      <w:color w:val="FFFFFF" w:themeColor="background1"/>
      <w:sz w:val="32"/>
      <w:szCs w:val="32"/>
    </w:rPr>
  </w:style>
  <w:style w:type="paragraph" w:styleId="Heading3">
    <w:name w:val="heading 3"/>
    <w:basedOn w:val="Normal"/>
    <w:next w:val="Normal"/>
    <w:link w:val="Heading3Char"/>
    <w:uiPriority w:val="9"/>
    <w:unhideWhenUsed/>
    <w:qFormat/>
    <w:rsid w:val="00DA2858"/>
    <w:pPr>
      <w:pBdr>
        <w:bottom w:val="single" w:sz="12" w:space="1" w:color="C00000"/>
      </w:pBdr>
      <w:spacing w:before="40"/>
      <w:outlineLvl w:val="2"/>
    </w:pPr>
    <w:rPr>
      <w:rFonts w:eastAsiaTheme="majorEastAsia" w:cstheme="minorHAnsi"/>
      <w:b/>
      <w:bCs/>
      <w:sz w:val="30"/>
      <w:szCs w:val="30"/>
    </w:rPr>
  </w:style>
  <w:style w:type="paragraph" w:styleId="Heading4">
    <w:name w:val="heading 4"/>
    <w:basedOn w:val="Heading3"/>
    <w:next w:val="Normal"/>
    <w:link w:val="Heading4Char"/>
    <w:uiPriority w:val="9"/>
    <w:unhideWhenUsed/>
    <w:qFormat/>
    <w:rsid w:val="00CE46FC"/>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F74"/>
    <w:rPr>
      <w:rFonts w:eastAsia="Times New Roman" w:cs="Times New Roman"/>
      <w:b/>
      <w:bCs/>
      <w:kern w:val="36"/>
      <w:sz w:val="96"/>
      <w:szCs w:val="144"/>
      <w14:reflection w14:blurRad="0" w14:stA="0" w14:stPos="0" w14:endA="0" w14:endPos="62000" w14:dist="0" w14:dir="0" w14:fadeDir="0" w14:sx="0" w14:sy="0" w14:kx="0" w14:ky="0" w14:algn="b"/>
    </w:rPr>
  </w:style>
  <w:style w:type="character" w:customStyle="1" w:styleId="Heading2Char">
    <w:name w:val="Heading 2 Char"/>
    <w:basedOn w:val="DefaultParagraphFont"/>
    <w:link w:val="Heading2"/>
    <w:uiPriority w:val="9"/>
    <w:rsid w:val="00D36FCC"/>
    <w:rPr>
      <w:rFonts w:eastAsia="Times New Roman" w:cs="Times New Roman"/>
      <w:b/>
      <w:bCs/>
      <w:color w:val="FFFFFF" w:themeColor="background1"/>
      <w:kern w:val="36"/>
      <w:sz w:val="32"/>
      <w:szCs w:val="32"/>
      <w:shd w:val="clear" w:color="auto" w:fill="C00000"/>
      <w14:reflection w14:blurRad="0" w14:stA="0" w14:stPos="0" w14:endA="0" w14:endPos="62000" w14:dist="0" w14:dir="0" w14:fadeDir="0" w14:sx="0" w14:sy="0" w14:kx="0" w14:ky="0" w14:algn="b"/>
    </w:rPr>
  </w:style>
  <w:style w:type="character" w:styleId="Hyperlink">
    <w:name w:val="Hyperlink"/>
    <w:basedOn w:val="DefaultParagraphFont"/>
    <w:uiPriority w:val="99"/>
    <w:unhideWhenUsed/>
    <w:rsid w:val="00CD4517"/>
    <w:rPr>
      <w:color w:val="0563C1" w:themeColor="hyperlink"/>
      <w:u w:val="single"/>
    </w:rPr>
  </w:style>
  <w:style w:type="paragraph" w:styleId="ListParagraph">
    <w:name w:val="List Paragraph"/>
    <w:basedOn w:val="Normal"/>
    <w:uiPriority w:val="34"/>
    <w:qFormat/>
    <w:rsid w:val="00CD4517"/>
    <w:pPr>
      <w:ind w:left="720"/>
      <w:contextualSpacing/>
    </w:pPr>
  </w:style>
  <w:style w:type="paragraph" w:styleId="TOCHeading">
    <w:name w:val="TOC Heading"/>
    <w:basedOn w:val="Heading1"/>
    <w:next w:val="Normal"/>
    <w:uiPriority w:val="39"/>
    <w:unhideWhenUsed/>
    <w:qFormat/>
    <w:rsid w:val="000A6F74"/>
    <w:pPr>
      <w:keepNext/>
      <w:keepLines/>
      <w:spacing w:before="240" w:line="259" w:lineRule="auto"/>
      <w:outlineLvl w:val="9"/>
    </w:pPr>
    <w:rPr>
      <w:rFonts w:eastAsiaTheme="majorEastAsia" w:cstheme="majorBidi"/>
      <w:bCs w:val="0"/>
      <w:kern w:val="0"/>
      <w:sz w:val="32"/>
      <w:szCs w:val="32"/>
    </w:rPr>
  </w:style>
  <w:style w:type="paragraph" w:styleId="TOC2">
    <w:name w:val="toc 2"/>
    <w:basedOn w:val="Normal"/>
    <w:next w:val="Normal"/>
    <w:autoRedefine/>
    <w:uiPriority w:val="39"/>
    <w:unhideWhenUsed/>
    <w:rsid w:val="004431F5"/>
    <w:pPr>
      <w:spacing w:after="100"/>
      <w:ind w:left="240"/>
    </w:pPr>
    <w:rPr>
      <w:sz w:val="22"/>
    </w:rPr>
  </w:style>
  <w:style w:type="paragraph" w:styleId="TOC1">
    <w:name w:val="toc 1"/>
    <w:basedOn w:val="Normal"/>
    <w:next w:val="Normal"/>
    <w:autoRedefine/>
    <w:uiPriority w:val="39"/>
    <w:unhideWhenUsed/>
    <w:rsid w:val="004431F5"/>
    <w:pPr>
      <w:spacing w:after="100"/>
    </w:pPr>
    <w:rPr>
      <w:sz w:val="22"/>
    </w:rPr>
  </w:style>
  <w:style w:type="paragraph" w:styleId="TOC3">
    <w:name w:val="toc 3"/>
    <w:basedOn w:val="Normal"/>
    <w:next w:val="Normal"/>
    <w:autoRedefine/>
    <w:uiPriority w:val="39"/>
    <w:unhideWhenUsed/>
    <w:rsid w:val="004431F5"/>
    <w:pPr>
      <w:spacing w:after="100"/>
      <w:ind w:left="480"/>
    </w:pPr>
    <w:rPr>
      <w:sz w:val="22"/>
    </w:rPr>
  </w:style>
  <w:style w:type="table" w:styleId="TableGrid">
    <w:name w:val="Table Grid"/>
    <w:basedOn w:val="TableNormal"/>
    <w:uiPriority w:val="39"/>
    <w:rsid w:val="00CD4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A2858"/>
    <w:rPr>
      <w:rFonts w:eastAsiaTheme="majorEastAsia" w:cstheme="minorHAnsi"/>
      <w:b/>
      <w:bCs/>
      <w:sz w:val="30"/>
      <w:szCs w:val="30"/>
    </w:rPr>
  </w:style>
  <w:style w:type="paragraph" w:styleId="Title">
    <w:name w:val="Title"/>
    <w:basedOn w:val="Normal"/>
    <w:next w:val="Normal"/>
    <w:link w:val="TitleChar"/>
    <w:uiPriority w:val="10"/>
    <w:qFormat/>
    <w:rsid w:val="00CD4517"/>
    <w:pPr>
      <w:contextualSpacing/>
    </w:pPr>
    <w:rPr>
      <w:rFonts w:asciiTheme="majorHAnsi" w:eastAsiaTheme="majorEastAsia" w:hAnsiTheme="majorHAnsi" w:cstheme="majorBidi"/>
      <w:color w:val="000000" w:themeColor="text1"/>
      <w:spacing w:val="-10"/>
      <w:kern w:val="28"/>
      <w:sz w:val="40"/>
      <w:szCs w:val="40"/>
    </w:rPr>
  </w:style>
  <w:style w:type="character" w:customStyle="1" w:styleId="TitleChar">
    <w:name w:val="Title Char"/>
    <w:basedOn w:val="DefaultParagraphFont"/>
    <w:link w:val="Title"/>
    <w:uiPriority w:val="10"/>
    <w:rsid w:val="00CD4517"/>
    <w:rPr>
      <w:rFonts w:asciiTheme="majorHAnsi" w:eastAsiaTheme="majorEastAsia" w:hAnsiTheme="majorHAnsi" w:cstheme="majorBidi"/>
      <w:color w:val="000000" w:themeColor="text1"/>
      <w:spacing w:val="-10"/>
      <w:kern w:val="28"/>
      <w:sz w:val="40"/>
      <w:szCs w:val="40"/>
    </w:rPr>
  </w:style>
  <w:style w:type="paragraph" w:styleId="Quote">
    <w:name w:val="Quote"/>
    <w:basedOn w:val="Normal"/>
    <w:next w:val="Normal"/>
    <w:link w:val="QuoteChar"/>
    <w:uiPriority w:val="29"/>
    <w:qFormat/>
    <w:rsid w:val="00CD45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D4517"/>
    <w:rPr>
      <w:i/>
      <w:iCs/>
      <w:color w:val="404040" w:themeColor="text1" w:themeTint="BF"/>
      <w:sz w:val="24"/>
      <w:szCs w:val="24"/>
    </w:rPr>
  </w:style>
  <w:style w:type="paragraph" w:customStyle="1" w:styleId="ImageBorder">
    <w:name w:val="Image Border"/>
    <w:basedOn w:val="Normal"/>
    <w:autoRedefine/>
    <w:qFormat/>
    <w:rsid w:val="00CD4517"/>
    <w:rPr>
      <w:noProof/>
    </w:rPr>
  </w:style>
  <w:style w:type="paragraph" w:styleId="Header">
    <w:name w:val="header"/>
    <w:basedOn w:val="Normal"/>
    <w:link w:val="HeaderChar"/>
    <w:uiPriority w:val="99"/>
    <w:unhideWhenUsed/>
    <w:rsid w:val="00FB3756"/>
    <w:pPr>
      <w:tabs>
        <w:tab w:val="center" w:pos="4680"/>
        <w:tab w:val="right" w:pos="9360"/>
      </w:tabs>
    </w:pPr>
  </w:style>
  <w:style w:type="character" w:customStyle="1" w:styleId="HeaderChar">
    <w:name w:val="Header Char"/>
    <w:basedOn w:val="DefaultParagraphFont"/>
    <w:link w:val="Header"/>
    <w:uiPriority w:val="99"/>
    <w:rsid w:val="00FB3756"/>
    <w:rPr>
      <w:sz w:val="24"/>
      <w:szCs w:val="24"/>
    </w:rPr>
  </w:style>
  <w:style w:type="paragraph" w:styleId="Footer">
    <w:name w:val="footer"/>
    <w:basedOn w:val="Normal"/>
    <w:link w:val="FooterChar"/>
    <w:uiPriority w:val="99"/>
    <w:unhideWhenUsed/>
    <w:rsid w:val="00FB3756"/>
    <w:pPr>
      <w:tabs>
        <w:tab w:val="center" w:pos="4680"/>
        <w:tab w:val="right" w:pos="9360"/>
      </w:tabs>
    </w:pPr>
  </w:style>
  <w:style w:type="character" w:customStyle="1" w:styleId="FooterChar">
    <w:name w:val="Footer Char"/>
    <w:basedOn w:val="DefaultParagraphFont"/>
    <w:link w:val="Footer"/>
    <w:uiPriority w:val="99"/>
    <w:rsid w:val="00FB3756"/>
    <w:rPr>
      <w:sz w:val="24"/>
      <w:szCs w:val="24"/>
    </w:rPr>
  </w:style>
  <w:style w:type="paragraph" w:styleId="NormalWeb">
    <w:name w:val="Normal (Web)"/>
    <w:basedOn w:val="Normal"/>
    <w:uiPriority w:val="99"/>
    <w:unhideWhenUsed/>
    <w:rsid w:val="00395CB6"/>
    <w:pPr>
      <w:spacing w:before="100" w:beforeAutospacing="1" w:after="100" w:afterAutospacing="1"/>
    </w:pPr>
    <w:rPr>
      <w:rFonts w:ascii="Times New Roman" w:eastAsia="Times New Roman" w:hAnsi="Times New Roman" w:cs="Times New Roman"/>
    </w:rPr>
  </w:style>
  <w:style w:type="character" w:customStyle="1" w:styleId="date-display-single">
    <w:name w:val="date-display-single"/>
    <w:basedOn w:val="DefaultParagraphFont"/>
    <w:rsid w:val="00395CB6"/>
  </w:style>
  <w:style w:type="character" w:styleId="Strong">
    <w:name w:val="Strong"/>
    <w:basedOn w:val="DefaultParagraphFont"/>
    <w:uiPriority w:val="22"/>
    <w:qFormat/>
    <w:rsid w:val="00395CB6"/>
    <w:rPr>
      <w:b/>
      <w:bCs/>
    </w:rPr>
  </w:style>
  <w:style w:type="character" w:customStyle="1" w:styleId="apple-converted-space">
    <w:name w:val="apple-converted-space"/>
    <w:basedOn w:val="DefaultParagraphFont"/>
    <w:rsid w:val="00395CB6"/>
  </w:style>
  <w:style w:type="character" w:customStyle="1" w:styleId="element-invisible">
    <w:name w:val="element-invisible"/>
    <w:basedOn w:val="DefaultParagraphFont"/>
    <w:rsid w:val="00395CB6"/>
  </w:style>
  <w:style w:type="character" w:customStyle="1" w:styleId="Heading4Char">
    <w:name w:val="Heading 4 Char"/>
    <w:basedOn w:val="DefaultParagraphFont"/>
    <w:link w:val="Heading4"/>
    <w:uiPriority w:val="9"/>
    <w:rsid w:val="003D519C"/>
    <w:rPr>
      <w:rFonts w:eastAsiaTheme="majorEastAsia" w:cstheme="minorHAnsi"/>
      <w:b/>
      <w:bCs/>
      <w:sz w:val="30"/>
      <w:szCs w:val="30"/>
    </w:rPr>
  </w:style>
  <w:style w:type="paragraph" w:styleId="TOC4">
    <w:name w:val="toc 4"/>
    <w:basedOn w:val="Normal"/>
    <w:next w:val="Normal"/>
    <w:autoRedefine/>
    <w:uiPriority w:val="39"/>
    <w:unhideWhenUsed/>
    <w:rsid w:val="00E62A87"/>
    <w:pPr>
      <w:spacing w:after="100"/>
      <w:ind w:left="720"/>
    </w:pPr>
  </w:style>
  <w:style w:type="paragraph" w:customStyle="1" w:styleId="LIneDivider">
    <w:name w:val="LIne Divider"/>
    <w:basedOn w:val="Normal"/>
    <w:qFormat/>
    <w:rsid w:val="00016163"/>
    <w:pPr>
      <w:pBdr>
        <w:bottom w:val="single" w:sz="12" w:space="1" w:color="2F5496" w:themeColor="accent1" w:themeShade="BF"/>
      </w:pBdr>
    </w:pPr>
    <w:rPr>
      <w:color w:val="2F5496" w:themeColor="accent1" w:themeShade="BF"/>
      <w:sz w:val="28"/>
      <w:szCs w:val="28"/>
    </w:rPr>
  </w:style>
  <w:style w:type="character" w:styleId="UnresolvedMention">
    <w:name w:val="Unresolved Mention"/>
    <w:basedOn w:val="DefaultParagraphFont"/>
    <w:uiPriority w:val="99"/>
    <w:semiHidden/>
    <w:unhideWhenUsed/>
    <w:rsid w:val="00BC2D61"/>
    <w:rPr>
      <w:color w:val="605E5C"/>
      <w:shd w:val="clear" w:color="auto" w:fill="E1DFDD"/>
    </w:rPr>
  </w:style>
  <w:style w:type="paragraph" w:styleId="BalloonText">
    <w:name w:val="Balloon Text"/>
    <w:basedOn w:val="Normal"/>
    <w:link w:val="BalloonTextChar"/>
    <w:uiPriority w:val="99"/>
    <w:semiHidden/>
    <w:unhideWhenUsed/>
    <w:rsid w:val="00CC12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278"/>
    <w:rPr>
      <w:rFonts w:ascii="Segoe UI" w:hAnsi="Segoe UI" w:cs="Segoe UI"/>
      <w:sz w:val="18"/>
      <w:szCs w:val="18"/>
    </w:rPr>
  </w:style>
  <w:style w:type="paragraph" w:styleId="PlainText">
    <w:name w:val="Plain Text"/>
    <w:basedOn w:val="Normal"/>
    <w:link w:val="PlainTextChar"/>
    <w:uiPriority w:val="99"/>
    <w:unhideWhenUsed/>
    <w:rsid w:val="00637F20"/>
    <w:rPr>
      <w:rFonts w:ascii="Calibri" w:hAnsi="Calibri"/>
      <w:sz w:val="22"/>
      <w:szCs w:val="21"/>
    </w:rPr>
  </w:style>
  <w:style w:type="character" w:customStyle="1" w:styleId="PlainTextChar">
    <w:name w:val="Plain Text Char"/>
    <w:basedOn w:val="DefaultParagraphFont"/>
    <w:link w:val="PlainText"/>
    <w:uiPriority w:val="99"/>
    <w:rsid w:val="00637F20"/>
    <w:rPr>
      <w:rFonts w:ascii="Calibri" w:hAnsi="Calibri"/>
      <w:szCs w:val="21"/>
    </w:rPr>
  </w:style>
  <w:style w:type="paragraph" w:styleId="BodyText">
    <w:name w:val="Body Text"/>
    <w:basedOn w:val="Normal"/>
    <w:link w:val="BodyTextChar"/>
    <w:uiPriority w:val="1"/>
    <w:qFormat/>
    <w:rsid w:val="0060314F"/>
    <w:pPr>
      <w:widowControl w:val="0"/>
      <w:autoSpaceDE w:val="0"/>
      <w:autoSpaceDN w:val="0"/>
    </w:pPr>
    <w:rPr>
      <w:rFonts w:ascii="Kalinga" w:eastAsia="Kalinga" w:hAnsi="Kalinga" w:cs="Kalinga"/>
      <w:lang w:bidi="en-US"/>
    </w:rPr>
  </w:style>
  <w:style w:type="character" w:customStyle="1" w:styleId="BodyTextChar">
    <w:name w:val="Body Text Char"/>
    <w:basedOn w:val="DefaultParagraphFont"/>
    <w:link w:val="BodyText"/>
    <w:uiPriority w:val="1"/>
    <w:rsid w:val="0060314F"/>
    <w:rPr>
      <w:rFonts w:ascii="Kalinga" w:eastAsia="Kalinga" w:hAnsi="Kalinga" w:cs="Kalinga"/>
      <w:sz w:val="24"/>
      <w:szCs w:val="24"/>
      <w:lang w:bidi="en-US"/>
    </w:rPr>
  </w:style>
  <w:style w:type="paragraph" w:styleId="IntenseQuote">
    <w:name w:val="Intense Quote"/>
    <w:basedOn w:val="Normal"/>
    <w:next w:val="Normal"/>
    <w:link w:val="IntenseQuoteChar"/>
    <w:uiPriority w:val="30"/>
    <w:qFormat/>
    <w:rsid w:val="00953AAE"/>
    <w:pPr>
      <w:pBdr>
        <w:top w:val="single" w:sz="4" w:space="10" w:color="4472C4" w:themeColor="accent1"/>
        <w:bottom w:val="single" w:sz="4" w:space="10" w:color="4472C4" w:themeColor="accent1"/>
      </w:pBdr>
      <w:spacing w:before="360" w:after="360" w:line="259" w:lineRule="auto"/>
      <w:ind w:left="864" w:right="864"/>
      <w:jc w:val="center"/>
    </w:pPr>
    <w:rPr>
      <w:i/>
      <w:iCs/>
      <w:color w:val="4472C4" w:themeColor="accent1"/>
      <w:sz w:val="22"/>
      <w:szCs w:val="22"/>
    </w:rPr>
  </w:style>
  <w:style w:type="character" w:customStyle="1" w:styleId="IntenseQuoteChar">
    <w:name w:val="Intense Quote Char"/>
    <w:basedOn w:val="DefaultParagraphFont"/>
    <w:link w:val="IntenseQuote"/>
    <w:uiPriority w:val="30"/>
    <w:rsid w:val="00953AAE"/>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7515">
      <w:bodyDiv w:val="1"/>
      <w:marLeft w:val="0"/>
      <w:marRight w:val="0"/>
      <w:marTop w:val="0"/>
      <w:marBottom w:val="0"/>
      <w:divBdr>
        <w:top w:val="none" w:sz="0" w:space="0" w:color="auto"/>
        <w:left w:val="none" w:sz="0" w:space="0" w:color="auto"/>
        <w:bottom w:val="none" w:sz="0" w:space="0" w:color="auto"/>
        <w:right w:val="none" w:sz="0" w:space="0" w:color="auto"/>
      </w:divBdr>
    </w:div>
    <w:div w:id="126435441">
      <w:bodyDiv w:val="1"/>
      <w:marLeft w:val="0"/>
      <w:marRight w:val="0"/>
      <w:marTop w:val="0"/>
      <w:marBottom w:val="0"/>
      <w:divBdr>
        <w:top w:val="none" w:sz="0" w:space="0" w:color="auto"/>
        <w:left w:val="none" w:sz="0" w:space="0" w:color="auto"/>
        <w:bottom w:val="none" w:sz="0" w:space="0" w:color="auto"/>
        <w:right w:val="none" w:sz="0" w:space="0" w:color="auto"/>
      </w:divBdr>
    </w:div>
    <w:div w:id="295260924">
      <w:bodyDiv w:val="1"/>
      <w:marLeft w:val="0"/>
      <w:marRight w:val="0"/>
      <w:marTop w:val="0"/>
      <w:marBottom w:val="0"/>
      <w:divBdr>
        <w:top w:val="none" w:sz="0" w:space="0" w:color="auto"/>
        <w:left w:val="none" w:sz="0" w:space="0" w:color="auto"/>
        <w:bottom w:val="none" w:sz="0" w:space="0" w:color="auto"/>
        <w:right w:val="none" w:sz="0" w:space="0" w:color="auto"/>
      </w:divBdr>
    </w:div>
    <w:div w:id="325715109">
      <w:bodyDiv w:val="1"/>
      <w:marLeft w:val="0"/>
      <w:marRight w:val="0"/>
      <w:marTop w:val="0"/>
      <w:marBottom w:val="0"/>
      <w:divBdr>
        <w:top w:val="none" w:sz="0" w:space="0" w:color="auto"/>
        <w:left w:val="none" w:sz="0" w:space="0" w:color="auto"/>
        <w:bottom w:val="none" w:sz="0" w:space="0" w:color="auto"/>
        <w:right w:val="none" w:sz="0" w:space="0" w:color="auto"/>
      </w:divBdr>
    </w:div>
    <w:div w:id="331875556">
      <w:bodyDiv w:val="1"/>
      <w:marLeft w:val="0"/>
      <w:marRight w:val="0"/>
      <w:marTop w:val="0"/>
      <w:marBottom w:val="0"/>
      <w:divBdr>
        <w:top w:val="none" w:sz="0" w:space="0" w:color="auto"/>
        <w:left w:val="none" w:sz="0" w:space="0" w:color="auto"/>
        <w:bottom w:val="none" w:sz="0" w:space="0" w:color="auto"/>
        <w:right w:val="none" w:sz="0" w:space="0" w:color="auto"/>
      </w:divBdr>
    </w:div>
    <w:div w:id="424106885">
      <w:bodyDiv w:val="1"/>
      <w:marLeft w:val="0"/>
      <w:marRight w:val="0"/>
      <w:marTop w:val="0"/>
      <w:marBottom w:val="0"/>
      <w:divBdr>
        <w:top w:val="none" w:sz="0" w:space="0" w:color="auto"/>
        <w:left w:val="none" w:sz="0" w:space="0" w:color="auto"/>
        <w:bottom w:val="none" w:sz="0" w:space="0" w:color="auto"/>
        <w:right w:val="none" w:sz="0" w:space="0" w:color="auto"/>
      </w:divBdr>
    </w:div>
    <w:div w:id="553389026">
      <w:bodyDiv w:val="1"/>
      <w:marLeft w:val="0"/>
      <w:marRight w:val="0"/>
      <w:marTop w:val="0"/>
      <w:marBottom w:val="0"/>
      <w:divBdr>
        <w:top w:val="none" w:sz="0" w:space="0" w:color="auto"/>
        <w:left w:val="none" w:sz="0" w:space="0" w:color="auto"/>
        <w:bottom w:val="none" w:sz="0" w:space="0" w:color="auto"/>
        <w:right w:val="none" w:sz="0" w:space="0" w:color="auto"/>
      </w:divBdr>
    </w:div>
    <w:div w:id="732317221">
      <w:bodyDiv w:val="1"/>
      <w:marLeft w:val="0"/>
      <w:marRight w:val="0"/>
      <w:marTop w:val="0"/>
      <w:marBottom w:val="0"/>
      <w:divBdr>
        <w:top w:val="none" w:sz="0" w:space="0" w:color="auto"/>
        <w:left w:val="none" w:sz="0" w:space="0" w:color="auto"/>
        <w:bottom w:val="none" w:sz="0" w:space="0" w:color="auto"/>
        <w:right w:val="none" w:sz="0" w:space="0" w:color="auto"/>
      </w:divBdr>
    </w:div>
    <w:div w:id="887685539">
      <w:bodyDiv w:val="1"/>
      <w:marLeft w:val="0"/>
      <w:marRight w:val="0"/>
      <w:marTop w:val="0"/>
      <w:marBottom w:val="0"/>
      <w:divBdr>
        <w:top w:val="none" w:sz="0" w:space="0" w:color="auto"/>
        <w:left w:val="none" w:sz="0" w:space="0" w:color="auto"/>
        <w:bottom w:val="none" w:sz="0" w:space="0" w:color="auto"/>
        <w:right w:val="none" w:sz="0" w:space="0" w:color="auto"/>
      </w:divBdr>
    </w:div>
    <w:div w:id="1042554765">
      <w:bodyDiv w:val="1"/>
      <w:marLeft w:val="0"/>
      <w:marRight w:val="0"/>
      <w:marTop w:val="0"/>
      <w:marBottom w:val="0"/>
      <w:divBdr>
        <w:top w:val="none" w:sz="0" w:space="0" w:color="auto"/>
        <w:left w:val="none" w:sz="0" w:space="0" w:color="auto"/>
        <w:bottom w:val="none" w:sz="0" w:space="0" w:color="auto"/>
        <w:right w:val="none" w:sz="0" w:space="0" w:color="auto"/>
      </w:divBdr>
    </w:div>
    <w:div w:id="1139111797">
      <w:bodyDiv w:val="1"/>
      <w:marLeft w:val="0"/>
      <w:marRight w:val="0"/>
      <w:marTop w:val="0"/>
      <w:marBottom w:val="0"/>
      <w:divBdr>
        <w:top w:val="none" w:sz="0" w:space="0" w:color="auto"/>
        <w:left w:val="none" w:sz="0" w:space="0" w:color="auto"/>
        <w:bottom w:val="none" w:sz="0" w:space="0" w:color="auto"/>
        <w:right w:val="none" w:sz="0" w:space="0" w:color="auto"/>
      </w:divBdr>
    </w:div>
    <w:div w:id="1157460544">
      <w:bodyDiv w:val="1"/>
      <w:marLeft w:val="0"/>
      <w:marRight w:val="0"/>
      <w:marTop w:val="0"/>
      <w:marBottom w:val="0"/>
      <w:divBdr>
        <w:top w:val="none" w:sz="0" w:space="0" w:color="auto"/>
        <w:left w:val="none" w:sz="0" w:space="0" w:color="auto"/>
        <w:bottom w:val="none" w:sz="0" w:space="0" w:color="auto"/>
        <w:right w:val="none" w:sz="0" w:space="0" w:color="auto"/>
      </w:divBdr>
    </w:div>
    <w:div w:id="1201818204">
      <w:bodyDiv w:val="1"/>
      <w:marLeft w:val="0"/>
      <w:marRight w:val="0"/>
      <w:marTop w:val="0"/>
      <w:marBottom w:val="0"/>
      <w:divBdr>
        <w:top w:val="none" w:sz="0" w:space="0" w:color="auto"/>
        <w:left w:val="none" w:sz="0" w:space="0" w:color="auto"/>
        <w:bottom w:val="none" w:sz="0" w:space="0" w:color="auto"/>
        <w:right w:val="none" w:sz="0" w:space="0" w:color="auto"/>
      </w:divBdr>
    </w:div>
    <w:div w:id="1203903092">
      <w:bodyDiv w:val="1"/>
      <w:marLeft w:val="0"/>
      <w:marRight w:val="0"/>
      <w:marTop w:val="0"/>
      <w:marBottom w:val="0"/>
      <w:divBdr>
        <w:top w:val="none" w:sz="0" w:space="0" w:color="auto"/>
        <w:left w:val="none" w:sz="0" w:space="0" w:color="auto"/>
        <w:bottom w:val="none" w:sz="0" w:space="0" w:color="auto"/>
        <w:right w:val="none" w:sz="0" w:space="0" w:color="auto"/>
      </w:divBdr>
    </w:div>
    <w:div w:id="1372267936">
      <w:bodyDiv w:val="1"/>
      <w:marLeft w:val="0"/>
      <w:marRight w:val="0"/>
      <w:marTop w:val="0"/>
      <w:marBottom w:val="0"/>
      <w:divBdr>
        <w:top w:val="none" w:sz="0" w:space="0" w:color="auto"/>
        <w:left w:val="none" w:sz="0" w:space="0" w:color="auto"/>
        <w:bottom w:val="none" w:sz="0" w:space="0" w:color="auto"/>
        <w:right w:val="none" w:sz="0" w:space="0" w:color="auto"/>
      </w:divBdr>
    </w:div>
    <w:div w:id="1375810452">
      <w:bodyDiv w:val="1"/>
      <w:marLeft w:val="0"/>
      <w:marRight w:val="0"/>
      <w:marTop w:val="0"/>
      <w:marBottom w:val="0"/>
      <w:divBdr>
        <w:top w:val="none" w:sz="0" w:space="0" w:color="auto"/>
        <w:left w:val="none" w:sz="0" w:space="0" w:color="auto"/>
        <w:bottom w:val="none" w:sz="0" w:space="0" w:color="auto"/>
        <w:right w:val="none" w:sz="0" w:space="0" w:color="auto"/>
      </w:divBdr>
    </w:div>
    <w:div w:id="1456483738">
      <w:bodyDiv w:val="1"/>
      <w:marLeft w:val="0"/>
      <w:marRight w:val="0"/>
      <w:marTop w:val="0"/>
      <w:marBottom w:val="0"/>
      <w:divBdr>
        <w:top w:val="none" w:sz="0" w:space="0" w:color="auto"/>
        <w:left w:val="none" w:sz="0" w:space="0" w:color="auto"/>
        <w:bottom w:val="none" w:sz="0" w:space="0" w:color="auto"/>
        <w:right w:val="none" w:sz="0" w:space="0" w:color="auto"/>
      </w:divBdr>
    </w:div>
    <w:div w:id="1630428408">
      <w:bodyDiv w:val="1"/>
      <w:marLeft w:val="0"/>
      <w:marRight w:val="0"/>
      <w:marTop w:val="0"/>
      <w:marBottom w:val="0"/>
      <w:divBdr>
        <w:top w:val="none" w:sz="0" w:space="0" w:color="auto"/>
        <w:left w:val="none" w:sz="0" w:space="0" w:color="auto"/>
        <w:bottom w:val="none" w:sz="0" w:space="0" w:color="auto"/>
        <w:right w:val="none" w:sz="0" w:space="0" w:color="auto"/>
      </w:divBdr>
    </w:div>
    <w:div w:id="1750813154">
      <w:bodyDiv w:val="1"/>
      <w:marLeft w:val="0"/>
      <w:marRight w:val="0"/>
      <w:marTop w:val="0"/>
      <w:marBottom w:val="0"/>
      <w:divBdr>
        <w:top w:val="none" w:sz="0" w:space="0" w:color="auto"/>
        <w:left w:val="none" w:sz="0" w:space="0" w:color="auto"/>
        <w:bottom w:val="none" w:sz="0" w:space="0" w:color="auto"/>
        <w:right w:val="none" w:sz="0" w:space="0" w:color="auto"/>
      </w:divBdr>
    </w:div>
    <w:div w:id="1763140800">
      <w:bodyDiv w:val="1"/>
      <w:marLeft w:val="0"/>
      <w:marRight w:val="0"/>
      <w:marTop w:val="0"/>
      <w:marBottom w:val="0"/>
      <w:divBdr>
        <w:top w:val="none" w:sz="0" w:space="0" w:color="auto"/>
        <w:left w:val="none" w:sz="0" w:space="0" w:color="auto"/>
        <w:bottom w:val="none" w:sz="0" w:space="0" w:color="auto"/>
        <w:right w:val="none" w:sz="0" w:space="0" w:color="auto"/>
      </w:divBdr>
    </w:div>
    <w:div w:id="1783649967">
      <w:bodyDiv w:val="1"/>
      <w:marLeft w:val="0"/>
      <w:marRight w:val="0"/>
      <w:marTop w:val="0"/>
      <w:marBottom w:val="0"/>
      <w:divBdr>
        <w:top w:val="none" w:sz="0" w:space="0" w:color="auto"/>
        <w:left w:val="none" w:sz="0" w:space="0" w:color="auto"/>
        <w:bottom w:val="none" w:sz="0" w:space="0" w:color="auto"/>
        <w:right w:val="none" w:sz="0" w:space="0" w:color="auto"/>
      </w:divBdr>
    </w:div>
    <w:div w:id="1862013328">
      <w:bodyDiv w:val="1"/>
      <w:marLeft w:val="0"/>
      <w:marRight w:val="0"/>
      <w:marTop w:val="0"/>
      <w:marBottom w:val="0"/>
      <w:divBdr>
        <w:top w:val="none" w:sz="0" w:space="0" w:color="auto"/>
        <w:left w:val="none" w:sz="0" w:space="0" w:color="auto"/>
        <w:bottom w:val="none" w:sz="0" w:space="0" w:color="auto"/>
        <w:right w:val="none" w:sz="0" w:space="0" w:color="auto"/>
      </w:divBdr>
    </w:div>
    <w:div w:id="1934625849">
      <w:bodyDiv w:val="1"/>
      <w:marLeft w:val="0"/>
      <w:marRight w:val="0"/>
      <w:marTop w:val="0"/>
      <w:marBottom w:val="0"/>
      <w:divBdr>
        <w:top w:val="none" w:sz="0" w:space="0" w:color="auto"/>
        <w:left w:val="none" w:sz="0" w:space="0" w:color="auto"/>
        <w:bottom w:val="none" w:sz="0" w:space="0" w:color="auto"/>
        <w:right w:val="none" w:sz="0" w:space="0" w:color="auto"/>
      </w:divBdr>
    </w:div>
    <w:div w:id="2099865509">
      <w:bodyDiv w:val="1"/>
      <w:marLeft w:val="0"/>
      <w:marRight w:val="0"/>
      <w:marTop w:val="0"/>
      <w:marBottom w:val="0"/>
      <w:divBdr>
        <w:top w:val="none" w:sz="0" w:space="0" w:color="auto"/>
        <w:left w:val="none" w:sz="0" w:space="0" w:color="auto"/>
        <w:bottom w:val="none" w:sz="0" w:space="0" w:color="auto"/>
        <w:right w:val="none" w:sz="0" w:space="0" w:color="auto"/>
      </w:divBdr>
    </w:div>
    <w:div w:id="210726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stlaw.com/Link/Document/FullText?findType=l&amp;pubNum=0001037&amp;cite=UUID(ID44C39E0A40511DD8F7E8B7E388A5011)&amp;originatingDoc=I6a4660b347a211e6b86bd602cb8781fa&amp;refType=CP&amp;fi=co_pp_sp_1037_63834&amp;originationContext=document&amp;vr=3.0&amp;rs=cblt1.0&amp;transitionType=DocumentItem&amp;contextData=(sc.Default)" TargetMode="External"/><Relationship Id="rId21" Type="http://schemas.openxmlformats.org/officeDocument/2006/relationships/image" Target="media/image12.jpeg"/><Relationship Id="rId42" Type="http://schemas.openxmlformats.org/officeDocument/2006/relationships/image" Target="media/image28.jpeg"/><Relationship Id="rId63" Type="http://schemas.openxmlformats.org/officeDocument/2006/relationships/image" Target="media/image44.jpeg"/><Relationship Id="rId84"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138" Type="http://schemas.openxmlformats.org/officeDocument/2006/relationships/hyperlink" Target="http://www.westlaw.com/Link/Document/FullText?findType=Y&amp;serNum=2031861418&amp;pubNum=0000999&amp;originatingDoc=I6a4660b347a211e6b86bd602cb8781fa&amp;refType=RP&amp;originationContext=document&amp;vr=3.0&amp;rs=cblt1.0&amp;transitionType=DocumentItem&amp;contextData=(sc.Default)" TargetMode="External"/><Relationship Id="rId159" Type="http://schemas.openxmlformats.org/officeDocument/2006/relationships/image" Target="media/image57.jpeg"/><Relationship Id="rId170" Type="http://schemas.openxmlformats.org/officeDocument/2006/relationships/image" Target="media/image68.jpeg"/><Relationship Id="rId191" Type="http://schemas.openxmlformats.org/officeDocument/2006/relationships/hyperlink" Target="https://www.youtube.com/watch?v=DWynJkN5HbQ" TargetMode="External"/><Relationship Id="rId196" Type="http://schemas.openxmlformats.org/officeDocument/2006/relationships/hyperlink" Target="https://www.youtube.com/watch?v=BRX31HOikws" TargetMode="External"/><Relationship Id="rId200" Type="http://schemas.openxmlformats.org/officeDocument/2006/relationships/image" Target="media/image78.jpeg"/><Relationship Id="rId16" Type="http://schemas.openxmlformats.org/officeDocument/2006/relationships/image" Target="media/image7.jpeg"/><Relationship Id="rId107" Type="http://schemas.openxmlformats.org/officeDocument/2006/relationships/hyperlink" Target="http://www.westlaw.com/Link/Document/FullText?findType=Y&amp;serNum=2010360091&amp;pubNum=0000506&amp;originatingDoc=I6a4660b347a211e6b86bd602cb8781fa&amp;refType=RP&amp;fi=co_pp_sp_506_749&amp;originationContext=document&amp;vr=3.0&amp;rs=cblt1.0&amp;transitionType=DocumentItem&amp;contextData=(sc.Default)" TargetMode="External"/><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5.jpeg"/><Relationship Id="rId53" Type="http://schemas.openxmlformats.org/officeDocument/2006/relationships/image" Target="media/image38.jpeg"/><Relationship Id="rId58" Type="http://schemas.openxmlformats.org/officeDocument/2006/relationships/hyperlink" Target="https://www.nar.realtor/fha" TargetMode="External"/><Relationship Id="rId74" Type="http://schemas.openxmlformats.org/officeDocument/2006/relationships/hyperlink" Target="http://www.westlaw.com/Link/Document/FullText?findType=L&amp;pubNum=1000782&amp;cite=PASTRAPR531&amp;originatingDoc=I6a4660b347a211e6b86bd602cb8781fa&amp;refType=LQ&amp;originationContext=document&amp;vr=3.0&amp;rs=cblt1.0&amp;transitionType=DocumentItem&amp;contextData=(sc.Default)" TargetMode="External"/><Relationship Id="rId79" Type="http://schemas.openxmlformats.org/officeDocument/2006/relationships/hyperlink" Target="http://www.westlaw.com/Browse/Home/KeyNumber/78k1083/View.html?docGuid=I6a4660b347a211e6b86bd602cb8781fa&amp;originationContext=document&amp;vr=3.0&amp;rs=cblt1.0&amp;transitionType=DocumentItem&amp;contextData=(sc.Default)" TargetMode="External"/><Relationship Id="rId102"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23" Type="http://schemas.openxmlformats.org/officeDocument/2006/relationships/hyperlink" Target="http://www.westlaw.com/Link/Document/FullText?findType=Y&amp;serNum=2002185452&amp;pubNum=0000506&amp;originatingDoc=I6a4660b347a211e6b86bd602cb8781fa&amp;refType=RP&amp;fi=co_pp_sp_506_457&amp;originationContext=document&amp;vr=3.0&amp;rs=cblt1.0&amp;transitionType=DocumentItem&amp;contextData=(sc.Default)" TargetMode="External"/><Relationship Id="rId128" Type="http://schemas.openxmlformats.org/officeDocument/2006/relationships/hyperlink" Target="http://www.westlaw.com/Link/Document/FullText?findType=Y&amp;serNum=2031861418&amp;pubNum=0000999&amp;originatingDoc=I6a4660b347a211e6b86bd602cb8781fa&amp;refType=RP&amp;originationContext=document&amp;vr=3.0&amp;rs=cblt1.0&amp;transitionType=DocumentItem&amp;contextData=(sc.Default)" TargetMode="External"/><Relationship Id="rId144" Type="http://schemas.openxmlformats.org/officeDocument/2006/relationships/hyperlink" Target="http://www.westlaw.com/Link/Document/FullText?findType=Y&amp;serNum=2034224956&amp;pubNum=0000506&amp;originatingDoc=I6a4660b347a211e6b86bd602cb8781fa&amp;refType=RP&amp;fi=co_pp_sp_506_1285&amp;originationContext=document&amp;vr=3.0&amp;rs=cblt1.0&amp;transitionType=DocumentItem&amp;contextData=(sc.Default)" TargetMode="External"/><Relationship Id="rId149"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www.westlaw.com/Link/Document/FullText?findType=h&amp;pubNum=176284&amp;cite=0167502401&amp;originatingDoc=I6a4660b347a211e6b86bd602cb8781fa&amp;refType=RQ&amp;originationContext=document&amp;vr=3.0&amp;rs=cblt1.0&amp;transitionType=DocumentItem&amp;contextData=(sc.Default)" TargetMode="External"/><Relationship Id="rId95" Type="http://schemas.openxmlformats.org/officeDocument/2006/relationships/hyperlink" Target="http://www.westlaw.com/Link/Document/FullText?findType=h&amp;pubNum=176284&amp;cite=0181102801&amp;originatingDoc=I6a4660b347a211e6b86bd602cb8781fa&amp;refType=RQ&amp;originationContext=document&amp;vr=3.0&amp;rs=cblt1.0&amp;transitionType=DocumentItem&amp;contextData=(sc.Default)" TargetMode="External"/><Relationship Id="rId160" Type="http://schemas.openxmlformats.org/officeDocument/2006/relationships/image" Target="media/image58.jpeg"/><Relationship Id="rId165" Type="http://schemas.openxmlformats.org/officeDocument/2006/relationships/image" Target="media/image63.jpeg"/><Relationship Id="rId181" Type="http://schemas.openxmlformats.org/officeDocument/2006/relationships/hyperlink" Target="http://www.nahrep.com" TargetMode="External"/><Relationship Id="rId186" Type="http://schemas.openxmlformats.org/officeDocument/2006/relationships/hyperlink" Target="https://adata.org/publication/service-animals-booklet"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29.jpeg"/><Relationship Id="rId48" Type="http://schemas.openxmlformats.org/officeDocument/2006/relationships/image" Target="media/image33.jpeg"/><Relationship Id="rId64" Type="http://schemas.openxmlformats.org/officeDocument/2006/relationships/image" Target="media/image45.jpeg"/><Relationship Id="rId69" Type="http://schemas.openxmlformats.org/officeDocument/2006/relationships/hyperlink" Target="http://www.westlaw.com/Link/Document/FullText?findType=Y&amp;serNum=2037448029&amp;pubNum=0000999&amp;originatingDoc=I6a4660b347a211e6b86bd602cb8781fa&amp;refType=RP&amp;originationContext=document&amp;vr=3.0&amp;rs=cblt1.0&amp;transitionType=DocumentItem&amp;contextData=(sc.Default)" TargetMode="External"/><Relationship Id="rId113" Type="http://schemas.openxmlformats.org/officeDocument/2006/relationships/hyperlink" Target="http://www.westlaw.com/Link/Document/FullText?findType=Y&amp;serNum=1997177267&amp;pubNum=0000506&amp;originatingDoc=I6a4660b347a211e6b86bd602cb8781fa&amp;refType=RP&amp;fi=co_pp_sp_506_603&amp;originationContext=document&amp;vr=3.0&amp;rs=cblt1.0&amp;transitionType=DocumentItem&amp;contextData=(sc.Default)" TargetMode="External"/><Relationship Id="rId118" Type="http://schemas.openxmlformats.org/officeDocument/2006/relationships/hyperlink" Target="http://www.westlaw.com/Link/Document/FullText?findType=Y&amp;pubNum=0004502&amp;cite=NOTICE2013-01&amp;originatingDoc=I6a4660b347a211e6b86bd602cb8781fa&amp;refType=CA&amp;originationContext=document&amp;vr=3.0&amp;rs=cblt1.0&amp;transitionType=DocumentItem&amp;contextData=(sc.Default)" TargetMode="External"/><Relationship Id="rId134" Type="http://schemas.openxmlformats.org/officeDocument/2006/relationships/hyperlink" Target="http://www.westlaw.com/Link/Document/FullText?entityType=disease&amp;entityId=Ica880c4c475411db9765f9243f53508a&amp;originationContext=document&amp;transitionType=DocumentItem&amp;contextData=(sc.Default)&amp;vr=3.0&amp;rs=cblt1.0" TargetMode="External"/><Relationship Id="rId139"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80"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85" Type="http://schemas.openxmlformats.org/officeDocument/2006/relationships/hyperlink" Target="http://www.westlaw.com/Browse/Home/KeyNumber/78k1021/View.html?docGuid=I6a4660b347a211e6b86bd602cb8781fa&amp;originationContext=document&amp;vr=3.0&amp;rs=cblt1.0&amp;transitionType=DocumentItem&amp;contextData=(sc.Default)" TargetMode="External"/><Relationship Id="rId150" Type="http://schemas.openxmlformats.org/officeDocument/2006/relationships/image" Target="media/image48.jpeg"/><Relationship Id="rId155" Type="http://schemas.openxmlformats.org/officeDocument/2006/relationships/image" Target="media/image53.jpeg"/><Relationship Id="rId171" Type="http://schemas.openxmlformats.org/officeDocument/2006/relationships/image" Target="media/image69.jpeg"/><Relationship Id="rId176" Type="http://schemas.openxmlformats.org/officeDocument/2006/relationships/image" Target="media/image74.JPG"/><Relationship Id="rId192" Type="http://schemas.openxmlformats.org/officeDocument/2006/relationships/hyperlink" Target="https://www.youtube.com/watch?v=Y6pMwl1Xi6E" TargetMode="External"/><Relationship Id="rId197" Type="http://schemas.openxmlformats.org/officeDocument/2006/relationships/hyperlink" Target="https://www.youtube.com/watch?v=Zhl9MLno424" TargetMode="External"/><Relationship Id="rId201" Type="http://schemas.openxmlformats.org/officeDocument/2006/relationships/footer" Target="footer4.xml"/><Relationship Id="rId12" Type="http://schemas.openxmlformats.org/officeDocument/2006/relationships/image" Target="media/image3.JPG"/><Relationship Id="rId17" Type="http://schemas.openxmlformats.org/officeDocument/2006/relationships/image" Target="media/image8.jpeg"/><Relationship Id="rId33" Type="http://schemas.openxmlformats.org/officeDocument/2006/relationships/hyperlink" Target="https://www.merriam-webster.com/dictionary/race" TargetMode="External"/><Relationship Id="rId38" Type="http://schemas.openxmlformats.org/officeDocument/2006/relationships/image" Target="media/image26.jpeg"/><Relationship Id="rId59" Type="http://schemas.openxmlformats.org/officeDocument/2006/relationships/hyperlink" Target="http://www.supremecourt.gov/opinions/14pdf/13-1371_m64o.pdf" TargetMode="External"/><Relationship Id="rId103"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08" Type="http://schemas.openxmlformats.org/officeDocument/2006/relationships/hyperlink" Target="http://www.westlaw.com/Link/Document/FullText?findType=L&amp;pubNum=1000782&amp;cite=PASTRAPR531&amp;originatingDoc=I6a4660b347a211e6b86bd602cb8781fa&amp;refType=LQ&amp;originationContext=document&amp;vr=3.0&amp;rs=cblt1.0&amp;transitionType=DocumentItem&amp;contextData=(sc.Default)" TargetMode="External"/><Relationship Id="rId124" Type="http://schemas.openxmlformats.org/officeDocument/2006/relationships/hyperlink" Target="http://www.westlaw.com/Link/Document/FullText?findType=Y&amp;serNum=2036874737&amp;pubNum=0000506&amp;originatingDoc=I6a4660b347a211e6b86bd602cb8781fa&amp;refType=RP&amp;fi=co_pp_sp_506_361&amp;originationContext=document&amp;vr=3.0&amp;rs=cblt1.0&amp;transitionType=DocumentItem&amp;contextData=(sc.Default)" TargetMode="External"/><Relationship Id="rId129"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54" Type="http://schemas.openxmlformats.org/officeDocument/2006/relationships/image" Target="media/image39.JPG"/><Relationship Id="rId70" Type="http://schemas.openxmlformats.org/officeDocument/2006/relationships/hyperlink" Target="http://www.westlaw.com/Link/Document/FullText?findType=h&amp;pubNum=176284&amp;cite=0181102801&amp;originatingDoc=I6a4660b347a211e6b86bd602cb8781fa&amp;refType=RQ&amp;originationContext=document&amp;vr=3.0&amp;rs=cblt1.0&amp;transitionType=DocumentItem&amp;contextData=(sc.Default)" TargetMode="External"/><Relationship Id="rId75"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91" Type="http://schemas.openxmlformats.org/officeDocument/2006/relationships/hyperlink" Target="http://www.westlaw.com/Link/Document/FullText?findType=h&amp;pubNum=176284&amp;cite=0299556101&amp;originatingDoc=I6a4660b347a211e6b86bd602cb8781fa&amp;refType=RQ&amp;originationContext=document&amp;vr=3.0&amp;rs=cblt1.0&amp;transitionType=DocumentItem&amp;contextData=(sc.Default)" TargetMode="External"/><Relationship Id="rId96" Type="http://schemas.openxmlformats.org/officeDocument/2006/relationships/hyperlink" Target="http://www.westlaw.com/Link/Document/FullText?entityType=disease&amp;entityId=Ica880c4c475411db9765f9243f53508a&amp;originationContext=document&amp;transitionType=DocumentItem&amp;contextData=(sc.Default)&amp;vr=3.0&amp;rs=cblt1.0" TargetMode="External"/><Relationship Id="rId140" Type="http://schemas.openxmlformats.org/officeDocument/2006/relationships/hyperlink" Target="http://www.westlaw.com/Link/Document/FullText?findType=L&amp;pubNum=1000546&amp;cite=42USCAS3601&amp;originatingDoc=I6a4660b347a211e6b86bd602cb8781fa&amp;refType=LQ&amp;originationContext=document&amp;vr=3.0&amp;rs=cblt1.0&amp;transitionType=DocumentItem&amp;contextData=(sc.Default)" TargetMode="External"/><Relationship Id="rId145" Type="http://schemas.openxmlformats.org/officeDocument/2006/relationships/hyperlink" Target="http://www.westlaw.com/Link/Document/FullText?findType=Y&amp;serNum=2001697612&amp;pubNum=0000162&amp;originatingDoc=I6a4660b347a211e6b86bd602cb8781fa&amp;refType=RP&amp;fi=co_pp_sp_162_589&amp;originationContext=document&amp;vr=3.0&amp;rs=cblt1.0&amp;transitionType=DocumentItem&amp;contextData=(sc.Default)" TargetMode="External"/><Relationship Id="rId161" Type="http://schemas.openxmlformats.org/officeDocument/2006/relationships/image" Target="media/image59.jpeg"/><Relationship Id="rId166" Type="http://schemas.openxmlformats.org/officeDocument/2006/relationships/image" Target="media/image64.jpeg"/><Relationship Id="rId182" Type="http://schemas.openxmlformats.org/officeDocument/2006/relationships/hyperlink" Target="http://www.afire.com" TargetMode="External"/><Relationship Id="rId187"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G"/><Relationship Id="rId28" Type="http://schemas.openxmlformats.org/officeDocument/2006/relationships/image" Target="media/image19.jpeg"/><Relationship Id="rId49" Type="http://schemas.openxmlformats.org/officeDocument/2006/relationships/image" Target="media/image34.jpeg"/><Relationship Id="rId114" Type="http://schemas.openxmlformats.org/officeDocument/2006/relationships/hyperlink" Target="http://www.westlaw.com/Link/Document/FullText?findType=Y&amp;serNum=2010360091&amp;pubNum=0000506&amp;originatingDoc=I6a4660b347a211e6b86bd602cb8781fa&amp;refType=RP&amp;fi=co_pp_sp_506_749&amp;originationContext=document&amp;vr=3.0&amp;rs=cblt1.0&amp;transitionType=DocumentItem&amp;contextData=(sc.Default)" TargetMode="External"/><Relationship Id="rId119" Type="http://schemas.openxmlformats.org/officeDocument/2006/relationships/hyperlink" Target="http://www.westlaw.com/Link/Document/FullText?findType=Y&amp;serNum=2031861418&amp;pubNum=0000999&amp;originatingDoc=I6a4660b347a211e6b86bd602cb8781fa&amp;refType=RP&amp;originationContext=document&amp;vr=3.0&amp;rs=cblt1.0&amp;transitionType=DocumentItem&amp;contextData=(sc.Default)" TargetMode="External"/><Relationship Id="rId44" Type="http://schemas.openxmlformats.org/officeDocument/2006/relationships/image" Target="media/image30.jpeg"/><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86"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130" Type="http://schemas.openxmlformats.org/officeDocument/2006/relationships/hyperlink" Target="http://www.westlaw.com/Link/Document/FullText?findType=Y&amp;serNum=0106993041&amp;pubNum=0000999&amp;originatingDoc=I6a4660b347a211e6b86bd602cb8781fa&amp;refType=DE&amp;originationContext=document&amp;vr=3.0&amp;rs=cblt1.0&amp;transitionType=DocumentItem&amp;contextData=(sc.Default)" TargetMode="External"/><Relationship Id="rId135" Type="http://schemas.openxmlformats.org/officeDocument/2006/relationships/hyperlink" Target="http://www.westlaw.com/Link/Document/FullText?entityType=disease&amp;entityId=Ic304d3b0475411db9765f9243f53508a&amp;originationContext=document&amp;transitionType=DocumentItem&amp;contextData=(sc.Default)&amp;vr=3.0&amp;rs=cblt1.0" TargetMode="External"/><Relationship Id="rId151" Type="http://schemas.openxmlformats.org/officeDocument/2006/relationships/image" Target="media/image49.jpeg"/><Relationship Id="rId156" Type="http://schemas.openxmlformats.org/officeDocument/2006/relationships/image" Target="media/image54.jpeg"/><Relationship Id="rId177" Type="http://schemas.openxmlformats.org/officeDocument/2006/relationships/hyperlink" Target="http://www.hud.gov" TargetMode="External"/><Relationship Id="rId198" Type="http://schemas.openxmlformats.org/officeDocument/2006/relationships/hyperlink" Target="https://www.youtube.com/watch?v=84k2iM30vbY" TargetMode="External"/><Relationship Id="rId172" Type="http://schemas.openxmlformats.org/officeDocument/2006/relationships/image" Target="media/image70.jpeg"/><Relationship Id="rId193" Type="http://schemas.openxmlformats.org/officeDocument/2006/relationships/image" Target="media/image77.jpeg"/><Relationship Id="rId202" Type="http://schemas.openxmlformats.org/officeDocument/2006/relationships/image" Target="media/image79.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www.ada.gov/service_animals_2010.htm" TargetMode="External"/><Relationship Id="rId109" Type="http://schemas.openxmlformats.org/officeDocument/2006/relationships/hyperlink" Target="http://www.westlaw.com/Link/Document/FullText?findType=L&amp;pubNum=1000782&amp;cite=PASTRAPR531&amp;originatingDoc=I6a4660b347a211e6b86bd602cb8781fa&amp;refType=LQ&amp;originationContext=document&amp;vr=3.0&amp;rs=cblt1.0&amp;transitionType=DocumentItem&amp;contextData=(sc.Default)" TargetMode="External"/><Relationship Id="rId34" Type="http://schemas.openxmlformats.org/officeDocument/2006/relationships/hyperlink" Target="https://www.merriam-webster.com/dictionary/determinant" TargetMode="External"/><Relationship Id="rId50" Type="http://schemas.openxmlformats.org/officeDocument/2006/relationships/image" Target="media/image35.jpeg"/><Relationship Id="rId55" Type="http://schemas.openxmlformats.org/officeDocument/2006/relationships/image" Target="media/image40.JPG"/><Relationship Id="rId76" Type="http://schemas.openxmlformats.org/officeDocument/2006/relationships/hyperlink" Target="http://www.westlaw.com/Browse/Home/KeyNumber/78k1083/View.html?docGuid=I6a4660b347a211e6b86bd602cb8781fa&amp;originationContext=document&amp;vr=3.0&amp;rs=cblt1.0&amp;transitionType=DocumentItem&amp;contextData=(sc.Default)" TargetMode="External"/><Relationship Id="rId97" Type="http://schemas.openxmlformats.org/officeDocument/2006/relationships/hyperlink" Target="http://www.westlaw.com/Link/Document/FullText?entityType=disease&amp;entityId=Ic304d3b0475411db9765f9243f53508a&amp;originationContext=document&amp;transitionType=DocumentItem&amp;contextData=(sc.Default)&amp;vr=3.0&amp;rs=cblt1.0" TargetMode="External"/><Relationship Id="rId104"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20"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125" Type="http://schemas.openxmlformats.org/officeDocument/2006/relationships/hyperlink" Target="http://www.westlaw.com/Link/Document/FullText?findType=Y&amp;serNum=2034224956&amp;pubNum=0000506&amp;originatingDoc=I6a4660b347a211e6b86bd602cb8781fa&amp;refType=RP&amp;fi=co_pp_sp_506_1289&amp;originationContext=document&amp;vr=3.0&amp;rs=cblt1.0&amp;transitionType=DocumentItem&amp;contextData=(sc.Default)" TargetMode="External"/><Relationship Id="rId141" Type="http://schemas.openxmlformats.org/officeDocument/2006/relationships/hyperlink" Target="http://www.westlaw.com/Link/Document/FullText?findType=L&amp;pubNum=1000546&amp;cite=42USCAS3631&amp;originatingDoc=I6a4660b347a211e6b86bd602cb8781fa&amp;refType=LQ&amp;originationContext=document&amp;vr=3.0&amp;rs=cblt1.0&amp;transitionType=DocumentItem&amp;contextData=(sc.Default)" TargetMode="External"/><Relationship Id="rId146" Type="http://schemas.openxmlformats.org/officeDocument/2006/relationships/hyperlink" Target="http://www.westlaw.com/Link/Document/FullText?findType=L&amp;pubNum=1000042&amp;cite=MAST212S1&amp;originatingDoc=I6a4660b347a211e6b86bd602cb8781fa&amp;refType=LQ&amp;originationContext=document&amp;vr=3.0&amp;rs=cblt1.0&amp;transitionType=DocumentItem&amp;contextData=(sc.Default)" TargetMode="External"/><Relationship Id="rId167" Type="http://schemas.openxmlformats.org/officeDocument/2006/relationships/image" Target="media/image65.jpeg"/><Relationship Id="rId188" Type="http://schemas.openxmlformats.org/officeDocument/2006/relationships/hyperlink" Target="http://www.realtor.org/ahwd" TargetMode="External"/><Relationship Id="rId7" Type="http://schemas.openxmlformats.org/officeDocument/2006/relationships/endnotes" Target="endnotes.xml"/><Relationship Id="rId71" Type="http://schemas.openxmlformats.org/officeDocument/2006/relationships/hyperlink" Target="http://www.westlaw.com/Link/Document/FullText?findType=h&amp;pubNum=176284&amp;cite=0427599401&amp;originatingDoc=I6a4660b347a211e6b86bd602cb8781fa&amp;refType=RQ&amp;originationContext=document&amp;vr=3.0&amp;rs=cblt1.0&amp;transitionType=DocumentItem&amp;contextData=(sc.Default)" TargetMode="External"/><Relationship Id="rId92" Type="http://schemas.openxmlformats.org/officeDocument/2006/relationships/hyperlink" Target="http://www.westlaw.com/Link/Document/FullText?findType=h&amp;pubNum=176284&amp;cite=0181102801&amp;originatingDoc=I6a4660b347a211e6b86bd602cb8781fa&amp;refType=RQ&amp;originationContext=document&amp;vr=3.0&amp;rs=cblt1.0&amp;transitionType=DocumentItem&amp;contextData=(sc.Default)" TargetMode="External"/><Relationship Id="rId162" Type="http://schemas.openxmlformats.org/officeDocument/2006/relationships/image" Target="media/image60.jpeg"/><Relationship Id="rId183" Type="http://schemas.openxmlformats.org/officeDocument/2006/relationships/hyperlink" Target="http://www.census.gov"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27.jpeg"/><Relationship Id="rId45" Type="http://schemas.openxmlformats.org/officeDocument/2006/relationships/image" Target="media/image31.jpeg"/><Relationship Id="rId66" Type="http://schemas.openxmlformats.org/officeDocument/2006/relationships/footer" Target="footer1.xml"/><Relationship Id="rId87" Type="http://schemas.openxmlformats.org/officeDocument/2006/relationships/hyperlink" Target="http://www.westlaw.com/Browse/Home/KeyNumber/78k1083/View.html?docGuid=I6a4660b347a211e6b86bd602cb8781fa&amp;originationContext=document&amp;vr=3.0&amp;rs=cblt1.0&amp;transitionType=DocumentItem&amp;contextData=(sc.Default)" TargetMode="External"/><Relationship Id="rId110" Type="http://schemas.openxmlformats.org/officeDocument/2006/relationships/hyperlink" Target="http://www.westlaw.com/Link/Document/FullText?findType=Y&amp;serNum=2036062166&amp;pubNum=0007691&amp;originatingDoc=I6a4660b347a211e6b86bd602cb8781fa&amp;refType=RP&amp;fi=co_pp_sp_7691_172&amp;originationContext=document&amp;vr=3.0&amp;rs=cblt1.0&amp;transitionType=DocumentItem&amp;contextData=(sc.Default)" TargetMode="External"/><Relationship Id="rId115" Type="http://schemas.openxmlformats.org/officeDocument/2006/relationships/hyperlink" Target="http://www.westlaw.com/Link/Document/FullText?findType=Y&amp;serNum=1996274283&amp;pubNum=0000506&amp;originatingDoc=I6a4660b347a211e6b86bd602cb8781fa&amp;refType=RP&amp;fi=co_pp_sp_506_795&amp;originationContext=document&amp;vr=3.0&amp;rs=cblt1.0&amp;transitionType=DocumentItem&amp;contextData=(sc.Default)" TargetMode="External"/><Relationship Id="rId131" Type="http://schemas.openxmlformats.org/officeDocument/2006/relationships/hyperlink" Target="http://www.westlaw.com/Link/Document/FullText?findType=h&amp;pubNum=176284&amp;cite=0427599401&amp;originatingDoc=I6a4660b347a211e6b86bd602cb8781fa&amp;refType=RQ&amp;originationContext=document&amp;vr=3.0&amp;rs=cblt1.0&amp;transitionType=DocumentItem&amp;contextData=(sc.Default)" TargetMode="External"/><Relationship Id="rId136" Type="http://schemas.openxmlformats.org/officeDocument/2006/relationships/hyperlink" Target="http://www.westlaw.com/Link/Document/FullText?entityType=disease&amp;entityId=Ic21f0856475411db9765f9243f53508a&amp;originationContext=document&amp;transitionType=DocumentItem&amp;contextData=(sc.Default)&amp;vr=3.0&amp;rs=cblt1.0" TargetMode="External"/><Relationship Id="rId157" Type="http://schemas.openxmlformats.org/officeDocument/2006/relationships/image" Target="media/image55.jpeg"/><Relationship Id="rId178" Type="http://schemas.openxmlformats.org/officeDocument/2006/relationships/hyperlink" Target="https://www.ag.state.la.us/FairHousing" TargetMode="External"/><Relationship Id="rId61" Type="http://schemas.openxmlformats.org/officeDocument/2006/relationships/image" Target="media/image42.jpeg"/><Relationship Id="rId82" Type="http://schemas.openxmlformats.org/officeDocument/2006/relationships/hyperlink" Target="http://www.westlaw.com/Browse/Home/KeyNumber/78k1083/View.html?docGuid=I6a4660b347a211e6b86bd602cb8781fa&amp;originationContext=document&amp;vr=3.0&amp;rs=cblt1.0&amp;transitionType=DocumentItem&amp;contextData=(sc.Default)" TargetMode="External"/><Relationship Id="rId152" Type="http://schemas.openxmlformats.org/officeDocument/2006/relationships/image" Target="media/image50.jpeg"/><Relationship Id="rId173" Type="http://schemas.openxmlformats.org/officeDocument/2006/relationships/image" Target="media/image71.jpeg"/><Relationship Id="rId194" Type="http://schemas.openxmlformats.org/officeDocument/2006/relationships/hyperlink" Target="https://www.nar.realtor/videos/window-to-the-law/assistance-animals-in-housing" TargetMode="External"/><Relationship Id="rId199" Type="http://schemas.openxmlformats.org/officeDocument/2006/relationships/hyperlink" Target="https://www.youtube.com/watch?v=fUc5yPAOZUg" TargetMode="External"/><Relationship Id="rId203"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4.jpeg"/><Relationship Id="rId56" Type="http://schemas.openxmlformats.org/officeDocument/2006/relationships/hyperlink" Target="https://www.nar.realtor/disparate-impact" TargetMode="External"/><Relationship Id="rId77"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00"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105" Type="http://schemas.openxmlformats.org/officeDocument/2006/relationships/hyperlink" Target="http://www.westlaw.com/Link/Document/FullText?findType=Y&amp;serNum=2002185452&amp;pubNum=0000506&amp;originatingDoc=I6a4660b347a211e6b86bd602cb8781fa&amp;refType=RP&amp;originationContext=document&amp;vr=3.0&amp;rs=cblt1.0&amp;transitionType=DocumentItem&amp;contextData=(sc.Default)" TargetMode="External"/><Relationship Id="rId126" Type="http://schemas.openxmlformats.org/officeDocument/2006/relationships/hyperlink" Target="http://www.westlaw.com/Link/Document/FullText?entityType=disease&amp;entityId=Ia99c9de5475411db9765f9243f53508a&amp;originationContext=document&amp;transitionType=DocumentItem&amp;contextData=(sc.Default)&amp;vr=3.0&amp;rs=cblt1.0" TargetMode="External"/><Relationship Id="rId147" Type="http://schemas.openxmlformats.org/officeDocument/2006/relationships/hyperlink" Target="http://www.westlaw.com/Link/Document/FullText?findType=L&amp;pubNum=1000042&amp;cite=MAST212S14&amp;originatingDoc=I6a4660b347a211e6b86bd602cb8781fa&amp;refType=LQ&amp;originationContext=document&amp;vr=3.0&amp;rs=cblt1.0&amp;transitionType=DocumentItem&amp;contextData=(sc.Default)" TargetMode="External"/><Relationship Id="rId168" Type="http://schemas.openxmlformats.org/officeDocument/2006/relationships/image" Target="media/image66.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93" Type="http://schemas.openxmlformats.org/officeDocument/2006/relationships/hyperlink" Target="http://www.westlaw.com/Link/Document/FullText?findType=h&amp;pubNum=176284&amp;cite=0427599401&amp;originatingDoc=I6a4660b347a211e6b86bd602cb8781fa&amp;refType=RQ&amp;originationContext=document&amp;vr=3.0&amp;rs=cblt1.0&amp;transitionType=DocumentItem&amp;contextData=(sc.Default)" TargetMode="External"/><Relationship Id="rId98" Type="http://schemas.openxmlformats.org/officeDocument/2006/relationships/hyperlink" Target="http://www.westlaw.com/Link/Document/FullText?entityType=disease&amp;entityId=Ic21f0856475411db9765f9243f53508a&amp;originationContext=document&amp;transitionType=DocumentItem&amp;contextData=(sc.Default)&amp;vr=3.0&amp;rs=cblt1.0" TargetMode="External"/><Relationship Id="rId121" Type="http://schemas.openxmlformats.org/officeDocument/2006/relationships/hyperlink" Target="http://www.westlaw.com/Link/Document/FullText?findType=Y&amp;serNum=2000027209&amp;pubNum=0000999&amp;originatingDoc=I6a4660b347a211e6b86bd602cb8781fa&amp;refType=RP&amp;originationContext=document&amp;vr=3.0&amp;rs=cblt1.0&amp;transitionType=DocumentItem&amp;contextData=(sc.Default)" TargetMode="External"/><Relationship Id="rId142" Type="http://schemas.openxmlformats.org/officeDocument/2006/relationships/hyperlink" Target="http://www.westlaw.com/Link/Document/FullText?findType=L&amp;pubNum=1000546&amp;cite=42USCAS12101&amp;originatingDoc=I6a4660b347a211e6b86bd602cb8781fa&amp;refType=LQ&amp;originationContext=document&amp;vr=3.0&amp;rs=cblt1.0&amp;transitionType=DocumentItem&amp;contextData=(sc.Default)" TargetMode="External"/><Relationship Id="rId163" Type="http://schemas.openxmlformats.org/officeDocument/2006/relationships/image" Target="media/image61.jpeg"/><Relationship Id="rId184" Type="http://schemas.openxmlformats.org/officeDocument/2006/relationships/hyperlink" Target="http://quickfacts.census.gov/qfd" TargetMode="External"/><Relationship Id="rId189" Type="http://schemas.openxmlformats.org/officeDocument/2006/relationships/image" Target="media/image76.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2.jpeg"/><Relationship Id="rId67" Type="http://schemas.openxmlformats.org/officeDocument/2006/relationships/footer" Target="footer2.xml"/><Relationship Id="rId116" Type="http://schemas.openxmlformats.org/officeDocument/2006/relationships/hyperlink" Target="http://www.westlaw.com/Link/Document/FullText?findType=Y&amp;serNum=1997177267&amp;pubNum=0000506&amp;originatingDoc=I6a4660b347a211e6b86bd602cb8781fa&amp;refType=RP&amp;fi=co_pp_sp_506_604&amp;originationContext=document&amp;vr=3.0&amp;rs=cblt1.0&amp;transitionType=DocumentItem&amp;contextData=(sc.Default)" TargetMode="External"/><Relationship Id="rId137" Type="http://schemas.openxmlformats.org/officeDocument/2006/relationships/hyperlink" Target="http://www.westlaw.com/Link/Document/FullText?entityType=disease&amp;entityId=Ib7c864d3475411db9765f9243f53508a&amp;originationContext=document&amp;transitionType=DocumentItem&amp;contextData=(sc.Default)&amp;vr=3.0&amp;rs=cblt1.0" TargetMode="External"/><Relationship Id="rId158" Type="http://schemas.openxmlformats.org/officeDocument/2006/relationships/image" Target="media/image56.jpeg"/><Relationship Id="rId20" Type="http://schemas.openxmlformats.org/officeDocument/2006/relationships/image" Target="media/image11.jpeg"/><Relationship Id="rId41" Type="http://schemas.openxmlformats.org/officeDocument/2006/relationships/hyperlink" Target="https://www.akc.org/public-education/resources/service-therapy-work-dogs/" TargetMode="External"/><Relationship Id="rId62" Type="http://schemas.openxmlformats.org/officeDocument/2006/relationships/image" Target="media/image43.jpeg"/><Relationship Id="rId83"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88"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11"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32"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53" Type="http://schemas.openxmlformats.org/officeDocument/2006/relationships/image" Target="media/image51.jpeg"/><Relationship Id="rId174" Type="http://schemas.openxmlformats.org/officeDocument/2006/relationships/image" Target="media/image72.jpeg"/><Relationship Id="rId179" Type="http://schemas.openxmlformats.org/officeDocument/2006/relationships/hyperlink" Target="http://www.nar.realtor/fairhousing" TargetMode="External"/><Relationship Id="rId195" Type="http://schemas.openxmlformats.org/officeDocument/2006/relationships/hyperlink" Target="https://www.nar.realtor/window-to-the-law/service-animals-in-the-work" TargetMode="External"/><Relationship Id="rId190" Type="http://schemas.openxmlformats.org/officeDocument/2006/relationships/hyperlink" Target="https://www.youtube.com/watch?v=IRsQRsjj-XE" TargetMode="External"/><Relationship Id="rId204" Type="http://schemas.openxmlformats.org/officeDocument/2006/relationships/theme" Target="theme/theme1.xml"/><Relationship Id="rId15" Type="http://schemas.openxmlformats.org/officeDocument/2006/relationships/image" Target="media/image6.jpg"/><Relationship Id="rId36" Type="http://schemas.openxmlformats.org/officeDocument/2006/relationships/hyperlink" Target="https://www.merriam-webster.com/dictionary/prejudice" TargetMode="External"/><Relationship Id="rId57" Type="http://schemas.openxmlformats.org/officeDocument/2006/relationships/hyperlink" Target="https://www.nar.realtor/fair-housing-act" TargetMode="External"/><Relationship Id="rId106" Type="http://schemas.openxmlformats.org/officeDocument/2006/relationships/hyperlink" Target="http://www.westlaw.com/Link/Document/FullText?findType=Y&amp;serNum=2002185452&amp;pubNum=0000506&amp;originatingDoc=I6a4660b347a211e6b86bd602cb8781fa&amp;refType=RP&amp;fi=co_pp_sp_506_446&amp;originationContext=document&amp;vr=3.0&amp;rs=cblt1.0&amp;transitionType=DocumentItem&amp;contextData=(sc.Default)" TargetMode="External"/><Relationship Id="rId127" Type="http://schemas.openxmlformats.org/officeDocument/2006/relationships/hyperlink" Target="http://www.westlaw.com/Link/Document/FullText?findType=Y&amp;serNum=2038706121&amp;pubNum=0000999&amp;originatingDoc=I6a4660b347a211e6b86bd602cb8781fa&amp;refType=RP&amp;originationContext=document&amp;vr=3.0&amp;rs=cblt1.0&amp;transitionType=DocumentItem&amp;contextData=(sc.Default)" TargetMode="External"/><Relationship Id="rId10" Type="http://schemas.openxmlformats.org/officeDocument/2006/relationships/hyperlink" Target="mailto:anyschool@yourschool.com" TargetMode="External"/><Relationship Id="rId31" Type="http://schemas.openxmlformats.org/officeDocument/2006/relationships/image" Target="media/image22.jpeg"/><Relationship Id="rId52" Type="http://schemas.openxmlformats.org/officeDocument/2006/relationships/image" Target="media/image37.JPG"/><Relationship Id="rId73" Type="http://schemas.openxmlformats.org/officeDocument/2006/relationships/hyperlink" Target="http://www.westlaw.com/Browse/Home/KeyNumber/78k1712/View.html?docGuid=I6a4660b347a211e6b86bd602cb8781fa&amp;originationContext=document&amp;vr=3.0&amp;rs=cblt1.0&amp;transitionType=DocumentItem&amp;contextData=(sc.Default)" TargetMode="External"/><Relationship Id="rId78" Type="http://schemas.openxmlformats.org/officeDocument/2006/relationships/hyperlink" Target="http://www.westlaw.com/Browse/Home/KeyNumber/78/View.html?docGuid=I6a4660b347a211e6b86bd602cb8781fa&amp;originationContext=document&amp;vr=3.0&amp;rs=cblt1.0&amp;transitionType=DocumentItem&amp;contextData=(sc.Default)" TargetMode="External"/><Relationship Id="rId94" Type="http://schemas.openxmlformats.org/officeDocument/2006/relationships/hyperlink" Target="http://www.westlaw.com/Link/Document/FullText?findType=h&amp;pubNum=176284&amp;cite=0209073801&amp;originatingDoc=I6a4660b347a211e6b86bd602cb8781fa&amp;refType=RQ&amp;originationContext=document&amp;vr=3.0&amp;rs=cblt1.0&amp;transitionType=DocumentItem&amp;contextData=(sc.Default)" TargetMode="External"/><Relationship Id="rId99" Type="http://schemas.openxmlformats.org/officeDocument/2006/relationships/hyperlink" Target="http://www.westlaw.com/Link/Document/FullText?entityType=disease&amp;entityId=Ib7c864d3475411db9765f9243f53508a&amp;originationContext=document&amp;transitionType=DocumentItem&amp;contextData=(sc.Default)&amp;vr=3.0&amp;rs=cblt1.0" TargetMode="External"/><Relationship Id="rId101"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22" Type="http://schemas.openxmlformats.org/officeDocument/2006/relationships/hyperlink" Target="http://www.westlaw.com/Link/Document/FullText?entityType=disease&amp;entityId=Ic94ca545475411db9765f9243f53508a&amp;originationContext=document&amp;transitionType=DocumentItem&amp;contextData=(sc.Default)&amp;vr=3.0&amp;rs=cblt1.0" TargetMode="External"/><Relationship Id="rId143" Type="http://schemas.openxmlformats.org/officeDocument/2006/relationships/hyperlink" Target="http://www.westlaw.com/Link/Document/FullText?findType=L&amp;pubNum=1000546&amp;cite=42USCAS12213&amp;originatingDoc=I6a4660b347a211e6b86bd602cb8781fa&amp;refType=LQ&amp;originationContext=document&amp;vr=3.0&amp;rs=cblt1.0&amp;transitionType=DocumentItem&amp;contextData=(sc.Default)" TargetMode="External"/><Relationship Id="rId148" Type="http://schemas.openxmlformats.org/officeDocument/2006/relationships/header" Target="header1.xml"/><Relationship Id="rId164" Type="http://schemas.openxmlformats.org/officeDocument/2006/relationships/image" Target="media/image62.jpeg"/><Relationship Id="rId169" Type="http://schemas.openxmlformats.org/officeDocument/2006/relationships/image" Target="media/image67.jpeg"/><Relationship Id="rId185" Type="http://schemas.openxmlformats.org/officeDocument/2006/relationships/hyperlink" Target="https://www.census.gov/quickfacts/fact/table/LA,US/PST045218" TargetMode="External"/><Relationship Id="rId4" Type="http://schemas.openxmlformats.org/officeDocument/2006/relationships/settings" Target="settings.xml"/><Relationship Id="rId9" Type="http://schemas.openxmlformats.org/officeDocument/2006/relationships/hyperlink" Target="https://lrec.gov/current-licensees/vendor/mandatory-course-materials/" TargetMode="External"/><Relationship Id="rId180" Type="http://schemas.openxmlformats.org/officeDocument/2006/relationships/hyperlink" Target="http://www.realtor.org/diversity" TargetMode="External"/><Relationship Id="rId26" Type="http://schemas.openxmlformats.org/officeDocument/2006/relationships/image" Target="media/image17.jpeg"/><Relationship Id="rId47" Type="http://schemas.openxmlformats.org/officeDocument/2006/relationships/hyperlink" Target="https://www.nar.realtor/fair-housing-act" TargetMode="External"/><Relationship Id="rId68" Type="http://schemas.openxmlformats.org/officeDocument/2006/relationships/image" Target="media/image47.jpeg"/><Relationship Id="rId89" Type="http://schemas.openxmlformats.org/officeDocument/2006/relationships/hyperlink" Target="http://www.westlaw.com/Link/Document/FullText?findType=h&amp;pubNum=176284&amp;cite=0478999001&amp;originatingDoc=I6a4660b347a211e6b86bd602cb8781fa&amp;refType=RQ&amp;originationContext=document&amp;vr=3.0&amp;rs=cblt1.0&amp;transitionType=DocumentItem&amp;contextData=(sc.Default)" TargetMode="External"/><Relationship Id="rId112" Type="http://schemas.openxmlformats.org/officeDocument/2006/relationships/hyperlink" Target="http://www.westlaw.com/Link/Document/FullText?findType=Y&amp;serNum=2002185452&amp;pubNum=0000506&amp;originatingDoc=I6a4660b347a211e6b86bd602cb8781fa&amp;refType=RP&amp;fi=co_pp_sp_506_457&amp;originationContext=document&amp;vr=3.0&amp;rs=cblt1.0&amp;transitionType=DocumentItem&amp;contextData=(sc.Default)" TargetMode="External"/><Relationship Id="rId133" Type="http://schemas.openxmlformats.org/officeDocument/2006/relationships/hyperlink" Target="http://www.westlaw.com/Link/Document/FullText?findType=L&amp;pubNum=1000546&amp;cite=42USCAS3604&amp;originatingDoc=I6a4660b347a211e6b86bd602cb8781fa&amp;refType=RB&amp;originationContext=document&amp;vr=3.0&amp;rs=cblt1.0&amp;transitionType=DocumentItem&amp;contextData=(sc.Default)" TargetMode="External"/><Relationship Id="rId154" Type="http://schemas.openxmlformats.org/officeDocument/2006/relationships/image" Target="media/image52.JPG"/><Relationship Id="rId175" Type="http://schemas.openxmlformats.org/officeDocument/2006/relationships/image" Target="media/image7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74E85-EDCD-4930-B3E9-8367BAD5D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75</Pages>
  <Words>20170</Words>
  <Characters>114969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Olsen</dc:creator>
  <cp:keywords/>
  <dc:description/>
  <cp:lastModifiedBy>Ryan Shaw</cp:lastModifiedBy>
  <cp:revision>19</cp:revision>
  <cp:lastPrinted>2019-09-30T19:42:00Z</cp:lastPrinted>
  <dcterms:created xsi:type="dcterms:W3CDTF">2019-09-30T16:19:00Z</dcterms:created>
  <dcterms:modified xsi:type="dcterms:W3CDTF">2019-10-28T16:47:00Z</dcterms:modified>
</cp:coreProperties>
</file>